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D9C6A" w14:textId="77777777" w:rsidR="007F0E94" w:rsidRPr="007F0E94" w:rsidRDefault="007F0E94" w:rsidP="007F0E94">
      <w:pPr>
        <w:autoSpaceDE w:val="0"/>
        <w:autoSpaceDN w:val="0"/>
        <w:adjustRightInd w:val="0"/>
        <w:spacing w:after="0" w:line="276" w:lineRule="auto"/>
        <w:jc w:val="both"/>
        <w:rPr>
          <w:rFonts w:cstheme="minorHAnsi"/>
          <w:b/>
          <w:bCs/>
          <w:lang w:val="en-US"/>
        </w:rPr>
      </w:pPr>
      <w:r w:rsidRPr="007F0E94">
        <w:rPr>
          <w:rFonts w:cstheme="minorHAnsi"/>
          <w:b/>
          <w:bCs/>
          <w:lang w:val="en-US"/>
        </w:rPr>
        <w:t>Abstract</w:t>
      </w:r>
    </w:p>
    <w:p w14:paraId="3B1583EC" w14:textId="77777777" w:rsidR="007F0E94" w:rsidRDefault="007F0E94" w:rsidP="007F0E94">
      <w:pPr>
        <w:autoSpaceDE w:val="0"/>
        <w:autoSpaceDN w:val="0"/>
        <w:adjustRightInd w:val="0"/>
        <w:spacing w:after="0" w:line="276" w:lineRule="auto"/>
        <w:jc w:val="both"/>
        <w:rPr>
          <w:rFonts w:cstheme="minorHAnsi"/>
          <w:lang w:val="en-US"/>
        </w:rPr>
      </w:pPr>
    </w:p>
    <w:p w14:paraId="1BFB7C70" w14:textId="1D1D52DF" w:rsidR="007F0E94" w:rsidRPr="007F0E94" w:rsidDel="00D5767D" w:rsidRDefault="007F0E94" w:rsidP="007F0E94">
      <w:pPr>
        <w:autoSpaceDE w:val="0"/>
        <w:autoSpaceDN w:val="0"/>
        <w:adjustRightInd w:val="0"/>
        <w:spacing w:after="0" w:line="276" w:lineRule="auto"/>
        <w:jc w:val="both"/>
        <w:rPr>
          <w:del w:id="0" w:author="Sunagawa  Shinichi" w:date="2024-09-11T11:03:00Z" w16du:dateUtc="2024-09-11T09:03:00Z"/>
          <w:rFonts w:cstheme="minorHAnsi"/>
          <w:lang w:val="en-US"/>
        </w:rPr>
      </w:pPr>
      <w:r w:rsidRPr="007F0E94">
        <w:rPr>
          <w:rFonts w:cstheme="minorHAnsi"/>
          <w:lang w:val="en-US"/>
        </w:rPr>
        <w:t>The intestinal microbiota features intricate metabolic interactions involving the breakdown and reuse of host- and diet-derived nutrients. The competition for these resources can limit pathogen growth. Nevertheless, some enteropathogenic bacteria can invade this niche</w:t>
      </w:r>
      <w:ins w:id="1" w:author="Sunagawa  Shinichi" w:date="2024-09-11T11:03:00Z" w16du:dateUtc="2024-09-11T09:03:00Z">
        <w:r w:rsidR="00D5767D">
          <w:rPr>
            <w:rFonts w:cstheme="minorHAnsi"/>
            <w:lang w:val="en-US"/>
          </w:rPr>
          <w:t xml:space="preserve">. </w:t>
        </w:r>
        <w:proofErr w:type="gramStart"/>
        <w:r w:rsidR="00D5767D">
          <w:rPr>
            <w:rFonts w:cstheme="minorHAnsi"/>
            <w:lang w:val="en-US"/>
          </w:rPr>
          <w:t>However</w:t>
        </w:r>
      </w:ins>
      <w:proofErr w:type="gramEnd"/>
      <w:ins w:id="2" w:author="Sunagawa  Shinichi" w:date="2024-09-11T11:04:00Z" w16du:dateUtc="2024-09-11T09:04:00Z">
        <w:r w:rsidR="00D5767D">
          <w:rPr>
            <w:rFonts w:cstheme="minorHAnsi"/>
            <w:lang w:val="en-US"/>
          </w:rPr>
          <w:t>/Nevertheless</w:t>
        </w:r>
      </w:ins>
      <w:ins w:id="3" w:author="Sunagawa  Shinichi" w:date="2024-09-11T11:03:00Z" w16du:dateUtc="2024-09-11T09:03:00Z">
        <w:r w:rsidR="00D5767D">
          <w:rPr>
            <w:rFonts w:cstheme="minorHAnsi"/>
            <w:lang w:val="en-US"/>
          </w:rPr>
          <w:t>,</w:t>
        </w:r>
      </w:ins>
      <w:r w:rsidRPr="007F0E94">
        <w:rPr>
          <w:rFonts w:cstheme="minorHAnsi"/>
          <w:lang w:val="en-US"/>
        </w:rPr>
        <w:t xml:space="preserve"> </w:t>
      </w:r>
      <w:ins w:id="4" w:author="Sunagawa  Shinichi" w:date="2024-09-11T11:03:00Z" w16du:dateUtc="2024-09-11T09:03:00Z">
        <w:r w:rsidR="00D5767D">
          <w:rPr>
            <w:rFonts w:cstheme="minorHAnsi"/>
            <w:lang w:val="en-US"/>
          </w:rPr>
          <w:t xml:space="preserve">the </w:t>
        </w:r>
      </w:ins>
      <w:del w:id="5" w:author="Sunagawa  Shinichi" w:date="2024-09-11T11:03:00Z" w16du:dateUtc="2024-09-11T09:03:00Z">
        <w:r w:rsidRPr="007F0E94" w:rsidDel="00D5767D">
          <w:rPr>
            <w:rFonts w:cstheme="minorHAnsi"/>
            <w:lang w:val="en-US"/>
          </w:rPr>
          <w:delText xml:space="preserve">through </w:delText>
        </w:r>
      </w:del>
      <w:r w:rsidRPr="007F0E94">
        <w:rPr>
          <w:rFonts w:cstheme="minorHAnsi"/>
          <w:lang w:val="en-US"/>
        </w:rPr>
        <w:t xml:space="preserve">mechanisms </w:t>
      </w:r>
      <w:ins w:id="6" w:author="Sunagawa  Shinichi" w:date="2024-09-11T11:03:00Z" w16du:dateUtc="2024-09-11T09:03:00Z">
        <w:r w:rsidR="00D5767D">
          <w:rPr>
            <w:rFonts w:cstheme="minorHAnsi"/>
            <w:lang w:val="en-US"/>
          </w:rPr>
          <w:t xml:space="preserve">through which </w:t>
        </w:r>
      </w:ins>
      <w:ins w:id="7" w:author="Sunagawa  Shinichi" w:date="2024-09-11T11:04:00Z" w16du:dateUtc="2024-09-11T09:04:00Z">
        <w:r w:rsidR="00D5767D">
          <w:rPr>
            <w:rFonts w:cstheme="minorHAnsi"/>
            <w:lang w:val="en-US"/>
          </w:rPr>
          <w:t>enteropathogenic bacteria can enter this niche</w:t>
        </w:r>
      </w:ins>
      <w:del w:id="8" w:author="Sunagawa  Shinichi" w:date="2024-09-11T11:03:00Z" w16du:dateUtc="2024-09-11T09:03:00Z">
        <w:r w:rsidRPr="007F0E94" w:rsidDel="00D5767D">
          <w:rPr>
            <w:rFonts w:cstheme="minorHAnsi"/>
            <w:lang w:val="en-US"/>
          </w:rPr>
          <w:delText xml:space="preserve">that </w:delText>
        </w:r>
      </w:del>
      <w:ins w:id="9" w:author="Sunagawa  Shinichi" w:date="2024-09-11T11:04:00Z" w16du:dateUtc="2024-09-11T09:04:00Z">
        <w:r w:rsidR="00D5767D">
          <w:rPr>
            <w:rFonts w:cstheme="minorHAnsi"/>
            <w:lang w:val="en-US"/>
          </w:rPr>
          <w:t xml:space="preserve"> </w:t>
        </w:r>
      </w:ins>
      <w:r w:rsidRPr="007F0E94">
        <w:rPr>
          <w:rFonts w:cstheme="minorHAnsi"/>
          <w:lang w:val="en-US"/>
        </w:rPr>
        <w:t>remain</w:t>
      </w:r>
    </w:p>
    <w:p w14:paraId="19E190A2" w14:textId="05254824" w:rsidR="007F0E94" w:rsidRDefault="00D5767D" w:rsidP="007F0E94">
      <w:pPr>
        <w:autoSpaceDE w:val="0"/>
        <w:autoSpaceDN w:val="0"/>
        <w:adjustRightInd w:val="0"/>
        <w:spacing w:after="0" w:line="276" w:lineRule="auto"/>
        <w:jc w:val="both"/>
        <w:rPr>
          <w:rFonts w:cstheme="minorHAnsi"/>
          <w:lang w:val="en-US"/>
        </w:rPr>
      </w:pPr>
      <w:ins w:id="10" w:author="Sunagawa  Shinichi" w:date="2024-09-11T11:03:00Z" w16du:dateUtc="2024-09-11T09:03:00Z">
        <w:r>
          <w:rPr>
            <w:rFonts w:cstheme="minorHAnsi"/>
            <w:lang w:val="en-US"/>
          </w:rPr>
          <w:t xml:space="preserve"> </w:t>
        </w:r>
      </w:ins>
      <w:r w:rsidR="007F0E94" w:rsidRPr="00AA4400">
        <w:rPr>
          <w:rFonts w:cstheme="minorHAnsi"/>
          <w:lang w:val="en-US"/>
        </w:rPr>
        <w:t xml:space="preserve">largely unclear. </w:t>
      </w:r>
      <w:ins w:id="11" w:author="Sunagawa  Shinichi" w:date="2024-09-11T11:01:00Z" w16du:dateUtc="2024-09-11T09:01:00Z">
        <w:r w:rsidR="00302307">
          <w:rPr>
            <w:rFonts w:cstheme="minorHAnsi"/>
            <w:lang w:val="en-US"/>
          </w:rPr>
          <w:t>Develo</w:t>
        </w:r>
      </w:ins>
      <w:ins w:id="12" w:author="Sunagawa  Shinichi" w:date="2024-09-11T11:02:00Z" w16du:dateUtc="2024-09-11T09:02:00Z">
        <w:r>
          <w:rPr>
            <w:rFonts w:cstheme="minorHAnsi"/>
            <w:lang w:val="en-US"/>
          </w:rPr>
          <w:t xml:space="preserve">ping effective ways to prevent or treat infections caused by </w:t>
        </w:r>
        <w:proofErr w:type="spellStart"/>
        <w:r>
          <w:rPr>
            <w:rFonts w:cstheme="minorHAnsi"/>
            <w:lang w:val="en-US"/>
          </w:rPr>
          <w:t>enteropathogens</w:t>
        </w:r>
        <w:proofErr w:type="spellEnd"/>
        <w:r>
          <w:rPr>
            <w:rFonts w:cstheme="minorHAnsi"/>
            <w:lang w:val="en-US"/>
          </w:rPr>
          <w:t xml:space="preserve"> requires a deeper understanding of their </w:t>
        </w:r>
        <w:proofErr w:type="spellStart"/>
        <w:r>
          <w:rPr>
            <w:rFonts w:cstheme="minorHAnsi"/>
            <w:lang w:val="en-US"/>
          </w:rPr>
          <w:t>invation</w:t>
        </w:r>
        <w:proofErr w:type="spellEnd"/>
        <w:r>
          <w:rPr>
            <w:rFonts w:cstheme="minorHAnsi"/>
            <w:lang w:val="en-US"/>
          </w:rPr>
          <w:t xml:space="preserve"> strategies.</w:t>
        </w:r>
      </w:ins>
      <w:ins w:id="13" w:author="Sunagawa  Shinichi" w:date="2024-09-11T11:03:00Z" w16du:dateUtc="2024-09-11T09:03:00Z">
        <w:r>
          <w:rPr>
            <w:rFonts w:cstheme="minorHAnsi"/>
            <w:lang w:val="en-US"/>
          </w:rPr>
          <w:t xml:space="preserve"> </w:t>
        </w:r>
      </w:ins>
      <w:r w:rsidR="007F0E94" w:rsidRPr="00AA4400">
        <w:rPr>
          <w:rFonts w:cstheme="minorHAnsi"/>
          <w:lang w:val="en-US"/>
        </w:rPr>
        <w:t>Using a mouse model for Salmonella diarrhea and</w:t>
      </w:r>
      <w:r w:rsidR="007F0E94">
        <w:rPr>
          <w:rFonts w:cstheme="minorHAnsi"/>
          <w:lang w:val="en-US"/>
        </w:rPr>
        <w:t xml:space="preserve"> a transposon mutant screen, we </w:t>
      </w:r>
      <w:r w:rsidR="007F0E94" w:rsidRPr="00AA4400">
        <w:rPr>
          <w:rFonts w:cstheme="minorHAnsi"/>
          <w:lang w:val="en-US"/>
        </w:rPr>
        <w:t xml:space="preserve">discovered that initial growth of </w:t>
      </w:r>
      <w:r w:rsidR="007F0E94" w:rsidRPr="00AA4400">
        <w:rPr>
          <w:rFonts w:cstheme="minorHAnsi"/>
          <w:i/>
          <w:lang w:val="en-US"/>
        </w:rPr>
        <w:t>Salmonella</w:t>
      </w:r>
      <w:r w:rsidR="007F0E94" w:rsidRPr="00AA4400">
        <w:rPr>
          <w:rFonts w:cstheme="minorHAnsi"/>
          <w:lang w:val="en-US"/>
        </w:rPr>
        <w:t xml:space="preserve"> Typhimurium (</w:t>
      </w:r>
      <w:r w:rsidR="007F0E94" w:rsidRPr="00AA4400">
        <w:rPr>
          <w:rFonts w:cstheme="minorHAnsi"/>
          <w:i/>
          <w:lang w:val="en-US"/>
        </w:rPr>
        <w:t xml:space="preserve">S. </w:t>
      </w:r>
      <w:r w:rsidR="007F0E94" w:rsidRPr="00AA4400">
        <w:rPr>
          <w:rFonts w:cstheme="minorHAnsi"/>
          <w:lang w:val="en-US"/>
        </w:rPr>
        <w:t>Tm) in</w:t>
      </w:r>
      <w:r w:rsidR="007F0E94">
        <w:rPr>
          <w:rFonts w:cstheme="minorHAnsi"/>
          <w:lang w:val="en-US"/>
        </w:rPr>
        <w:t xml:space="preserve"> the unperturbed gut is powered </w:t>
      </w:r>
      <w:r w:rsidR="007F0E94" w:rsidRPr="00AA4400">
        <w:rPr>
          <w:rFonts w:cstheme="minorHAnsi"/>
          <w:lang w:val="en-US"/>
        </w:rPr>
        <w:t xml:space="preserve">by </w:t>
      </w:r>
      <w:r w:rsidR="007F0E94" w:rsidRPr="00AA4400">
        <w:rPr>
          <w:rFonts w:cstheme="minorHAnsi"/>
          <w:i/>
          <w:lang w:val="en-US"/>
        </w:rPr>
        <w:t>S.</w:t>
      </w:r>
      <w:r w:rsidR="007F0E94" w:rsidRPr="00AA4400">
        <w:rPr>
          <w:rFonts w:cstheme="minorHAnsi"/>
          <w:lang w:val="en-US"/>
        </w:rPr>
        <w:t xml:space="preserve"> Tm </w:t>
      </w:r>
      <w:proofErr w:type="spellStart"/>
      <w:r w:rsidR="007F0E94" w:rsidRPr="00AA4400">
        <w:rPr>
          <w:rFonts w:cstheme="minorHAnsi"/>
          <w:i/>
          <w:lang w:val="en-US"/>
        </w:rPr>
        <w:t>hyb</w:t>
      </w:r>
      <w:proofErr w:type="spellEnd"/>
      <w:r w:rsidR="007F0E94" w:rsidRPr="00AA4400">
        <w:rPr>
          <w:rFonts w:cstheme="minorHAnsi"/>
          <w:lang w:val="en-US"/>
        </w:rPr>
        <w:t xml:space="preserve"> hydrogenase, which facilitates consumption of hydrogen (H2</w:t>
      </w:r>
      <w:r w:rsidR="007F0E94">
        <w:rPr>
          <w:rFonts w:cstheme="minorHAnsi"/>
          <w:lang w:val="en-US"/>
        </w:rPr>
        <w:t xml:space="preserve">), a central intermediate of </w:t>
      </w:r>
      <w:r w:rsidR="007F0E94" w:rsidRPr="00AA4400">
        <w:rPr>
          <w:rFonts w:cstheme="minorHAnsi"/>
          <w:lang w:val="en-US"/>
        </w:rPr>
        <w:t xml:space="preserve">microbiota metabolism. In competitive infection experiments, a </w:t>
      </w:r>
      <w:proofErr w:type="spellStart"/>
      <w:r w:rsidR="007F0E94" w:rsidRPr="00AA4400">
        <w:rPr>
          <w:rFonts w:cstheme="minorHAnsi"/>
          <w:i/>
          <w:lang w:val="en-US"/>
        </w:rPr>
        <w:t>hyb</w:t>
      </w:r>
      <w:proofErr w:type="spellEnd"/>
      <w:r w:rsidR="007F0E94" w:rsidRPr="00AA4400">
        <w:rPr>
          <w:rFonts w:cstheme="minorHAnsi"/>
          <w:lang w:val="en-US"/>
        </w:rPr>
        <w:t xml:space="preserve"> </w:t>
      </w:r>
      <w:r w:rsidR="007F0E94">
        <w:rPr>
          <w:rFonts w:cstheme="minorHAnsi"/>
          <w:lang w:val="en-US"/>
        </w:rPr>
        <w:t xml:space="preserve">mutant exhibited reduced growth </w:t>
      </w:r>
      <w:r w:rsidR="007F0E94" w:rsidRPr="00AA4400">
        <w:rPr>
          <w:rFonts w:cstheme="minorHAnsi"/>
          <w:lang w:val="en-US"/>
        </w:rPr>
        <w:t xml:space="preserve">early in infection compared to wild-type </w:t>
      </w:r>
      <w:r w:rsidR="007F0E94" w:rsidRPr="00AA4400">
        <w:rPr>
          <w:rFonts w:cstheme="minorHAnsi"/>
          <w:i/>
          <w:lang w:val="en-US"/>
        </w:rPr>
        <w:t>S.</w:t>
      </w:r>
      <w:r w:rsidR="007F0E94" w:rsidRPr="00AA4400">
        <w:rPr>
          <w:rFonts w:cstheme="minorHAnsi"/>
          <w:lang w:val="en-US"/>
        </w:rPr>
        <w:t xml:space="preserve"> Tm, but these differences wer</w:t>
      </w:r>
      <w:r w:rsidR="007F0E94">
        <w:rPr>
          <w:rFonts w:cstheme="minorHAnsi"/>
          <w:lang w:val="en-US"/>
        </w:rPr>
        <w:t xml:space="preserve">e lost upon antibiotic </w:t>
      </w:r>
      <w:r w:rsidR="007F0E94" w:rsidRPr="00AA4400">
        <w:rPr>
          <w:rFonts w:cstheme="minorHAnsi"/>
          <w:lang w:val="en-US"/>
        </w:rPr>
        <w:t xml:space="preserve">mediated disruption of the host microbiota. Additionally, introducing H2-consuming bacteria into the microbiota interfered with </w:t>
      </w:r>
      <w:proofErr w:type="spellStart"/>
      <w:r w:rsidR="007F0E94" w:rsidRPr="00AA4400">
        <w:rPr>
          <w:rFonts w:cstheme="minorHAnsi"/>
          <w:i/>
          <w:lang w:val="en-US"/>
        </w:rPr>
        <w:t>hyb</w:t>
      </w:r>
      <w:proofErr w:type="spellEnd"/>
      <w:r w:rsidR="007F0E94" w:rsidRPr="00AA4400">
        <w:rPr>
          <w:rFonts w:cstheme="minorHAnsi"/>
          <w:lang w:val="en-US"/>
        </w:rPr>
        <w:t xml:space="preserve">-dependent </w:t>
      </w:r>
      <w:r w:rsidR="007F0E94" w:rsidRPr="00AA4400">
        <w:rPr>
          <w:rFonts w:cstheme="minorHAnsi"/>
          <w:i/>
          <w:lang w:val="en-US"/>
        </w:rPr>
        <w:t>S.</w:t>
      </w:r>
      <w:r w:rsidR="007F0E94" w:rsidRPr="00AA4400">
        <w:rPr>
          <w:rFonts w:cstheme="minorHAnsi"/>
          <w:lang w:val="en-US"/>
        </w:rPr>
        <w:t xml:space="preserve"> Tm growth. Thus, H2 is an </w:t>
      </w:r>
      <w:commentRangeStart w:id="14"/>
      <w:r w:rsidR="007F0E94" w:rsidRPr="00AA4400">
        <w:rPr>
          <w:rFonts w:cstheme="minorHAnsi"/>
          <w:lang w:val="en-US"/>
        </w:rPr>
        <w:t xml:space="preserve">Achilles’ heel </w:t>
      </w:r>
      <w:commentRangeEnd w:id="14"/>
      <w:r>
        <w:rPr>
          <w:rStyle w:val="CommentReference"/>
        </w:rPr>
        <w:commentReference w:id="14"/>
      </w:r>
      <w:r w:rsidR="007F0E94" w:rsidRPr="00AA4400">
        <w:rPr>
          <w:rFonts w:cstheme="minorHAnsi"/>
          <w:lang w:val="en-US"/>
        </w:rPr>
        <w:t xml:space="preserve">of microbiota metabolism that can be subverted by </w:t>
      </w:r>
      <w:commentRangeStart w:id="15"/>
      <w:r w:rsidR="007F0E94" w:rsidRPr="00AA4400">
        <w:rPr>
          <w:rFonts w:cstheme="minorHAnsi"/>
          <w:lang w:val="en-US"/>
        </w:rPr>
        <w:t>pathogens</w:t>
      </w:r>
      <w:commentRangeEnd w:id="15"/>
      <w:r>
        <w:rPr>
          <w:rStyle w:val="CommentReference"/>
        </w:rPr>
        <w:commentReference w:id="15"/>
      </w:r>
      <w:r w:rsidR="007F0E94" w:rsidRPr="00AA4400">
        <w:rPr>
          <w:rFonts w:cstheme="minorHAnsi"/>
          <w:lang w:val="en-US"/>
        </w:rPr>
        <w:t xml:space="preserve"> and might offer opportunities to prevent infection.</w:t>
      </w:r>
    </w:p>
    <w:p w14:paraId="4215C10A" w14:textId="77777777" w:rsidR="007F0E94" w:rsidRPr="00302307" w:rsidRDefault="007F0E94" w:rsidP="007F0E94">
      <w:pPr>
        <w:spacing w:line="276" w:lineRule="auto"/>
        <w:jc w:val="both"/>
        <w:rPr>
          <w:rFonts w:cstheme="minorHAnsi"/>
          <w:color w:val="4472C4" w:themeColor="accent1"/>
          <w:lang w:val="en-US"/>
        </w:rPr>
      </w:pPr>
    </w:p>
    <w:p w14:paraId="579B6B88" w14:textId="77777777" w:rsidR="007F0E94" w:rsidRPr="007F0E94" w:rsidRDefault="007F0E94" w:rsidP="007F0E94">
      <w:pPr>
        <w:spacing w:line="276" w:lineRule="auto"/>
        <w:jc w:val="both"/>
        <w:rPr>
          <w:rFonts w:cstheme="minorHAnsi"/>
          <w:b/>
          <w:lang w:val="en-US"/>
        </w:rPr>
      </w:pPr>
      <w:r w:rsidRPr="007F0E94">
        <w:rPr>
          <w:rFonts w:cstheme="minorHAnsi"/>
          <w:b/>
          <w:lang w:val="en-US"/>
        </w:rPr>
        <w:t>Introduction</w:t>
      </w:r>
    </w:p>
    <w:p w14:paraId="6DB9A864" w14:textId="77777777" w:rsidR="007F0E94" w:rsidRDefault="007F0E94" w:rsidP="007F0E94">
      <w:pPr>
        <w:autoSpaceDE w:val="0"/>
        <w:autoSpaceDN w:val="0"/>
        <w:adjustRightInd w:val="0"/>
        <w:spacing w:after="0" w:line="276" w:lineRule="auto"/>
        <w:jc w:val="both"/>
        <w:rPr>
          <w:rFonts w:cstheme="minorHAnsi"/>
          <w:lang w:val="en-US"/>
        </w:rPr>
      </w:pPr>
      <w:r w:rsidRPr="00583339">
        <w:rPr>
          <w:rFonts w:cstheme="minorHAnsi"/>
          <w:lang w:val="en-US"/>
        </w:rPr>
        <w:t xml:space="preserve">The mammalian intestine is densely colonized by microorganisms, collectively referred to as microbiota (Ley et al., 2008). The microbiota </w:t>
      </w:r>
      <w:proofErr w:type="gramStart"/>
      <w:r w:rsidRPr="00583339">
        <w:rPr>
          <w:rFonts w:cstheme="minorHAnsi"/>
          <w:lang w:val="en-US"/>
        </w:rPr>
        <w:t>feature</w:t>
      </w:r>
      <w:proofErr w:type="gramEnd"/>
      <w:r w:rsidRPr="00583339">
        <w:rPr>
          <w:rFonts w:cstheme="minorHAnsi"/>
          <w:lang w:val="en-US"/>
        </w:rPr>
        <w:t xml:space="preserve"> a network of metabolic activities facilitating efficient breakdown of complex diet- and host-derived carbohydrates to short-chain fatty acids (SCFAs), hydrogen (H2), and carbon dioxide (Fischbach and </w:t>
      </w:r>
      <w:proofErr w:type="spellStart"/>
      <w:r w:rsidRPr="00583339">
        <w:rPr>
          <w:rFonts w:cstheme="minorHAnsi"/>
          <w:lang w:val="en-US"/>
        </w:rPr>
        <w:t>Sonnenburg</w:t>
      </w:r>
      <w:proofErr w:type="spellEnd"/>
      <w:r w:rsidRPr="00583339">
        <w:rPr>
          <w:rFonts w:cstheme="minorHAnsi"/>
          <w:lang w:val="en-US"/>
        </w:rPr>
        <w:t xml:space="preserve">, 2011; Flint et al., 2008). Microbial fermentation products are subsequently consumed by </w:t>
      </w:r>
      <w:proofErr w:type="spellStart"/>
      <w:r w:rsidRPr="00583339">
        <w:rPr>
          <w:rFonts w:cstheme="minorHAnsi"/>
          <w:lang w:val="en-US"/>
        </w:rPr>
        <w:t>crossfeeding</w:t>
      </w:r>
      <w:proofErr w:type="spellEnd"/>
      <w:r w:rsidRPr="00583339">
        <w:rPr>
          <w:rFonts w:cstheme="minorHAnsi"/>
          <w:lang w:val="en-US"/>
        </w:rPr>
        <w:t xml:space="preserve"> secondary fermenters, absorbed by the host, or released into the environment. Gut ecosystem invasion is defined herein as the initial growth phase of a pathogen (or any other newcomer) in the host’s intestine. At this stage, the intestinal mucosa appears healthy, and the microbiota is (still) intact and limits nutrient availability. This prohibits growth of most newly arriving bacteria. Despite the scarce nutrient availability, </w:t>
      </w:r>
      <w:proofErr w:type="spellStart"/>
      <w:r w:rsidRPr="00583339">
        <w:rPr>
          <w:rFonts w:cstheme="minorHAnsi"/>
          <w:lang w:val="en-US"/>
        </w:rPr>
        <w:t>enteropathogens</w:t>
      </w:r>
      <w:proofErr w:type="spellEnd"/>
      <w:r w:rsidRPr="00583339">
        <w:rPr>
          <w:rFonts w:cstheme="minorHAnsi"/>
          <w:lang w:val="en-US"/>
        </w:rPr>
        <w:t xml:space="preserve"> can invade the gut ecosystem. Yet, the factors enabling ‘‘gut ecosyste</w:t>
      </w:r>
      <w:r>
        <w:rPr>
          <w:rFonts w:cstheme="minorHAnsi"/>
          <w:lang w:val="en-US"/>
        </w:rPr>
        <w:t xml:space="preserve">m invasion’’ by </w:t>
      </w:r>
      <w:proofErr w:type="spellStart"/>
      <w:r>
        <w:rPr>
          <w:rFonts w:cstheme="minorHAnsi"/>
          <w:lang w:val="en-US"/>
        </w:rPr>
        <w:t>enteropathogens</w:t>
      </w:r>
      <w:proofErr w:type="spellEnd"/>
      <w:r>
        <w:rPr>
          <w:rFonts w:cstheme="minorHAnsi"/>
          <w:lang w:val="en-US"/>
        </w:rPr>
        <w:t xml:space="preserve"> </w:t>
      </w:r>
      <w:r w:rsidRPr="00583339">
        <w:rPr>
          <w:rFonts w:cstheme="minorHAnsi"/>
          <w:lang w:val="en-US"/>
        </w:rPr>
        <w:t xml:space="preserve">remain unclear. </w:t>
      </w:r>
    </w:p>
    <w:p w14:paraId="067DF446" w14:textId="77777777" w:rsidR="007F0E94" w:rsidRDefault="007F0E94" w:rsidP="007F0E94">
      <w:pPr>
        <w:autoSpaceDE w:val="0"/>
        <w:autoSpaceDN w:val="0"/>
        <w:adjustRightInd w:val="0"/>
        <w:spacing w:after="0" w:line="276" w:lineRule="auto"/>
        <w:jc w:val="both"/>
        <w:rPr>
          <w:rFonts w:cstheme="minorHAnsi"/>
          <w:lang w:val="en-US"/>
        </w:rPr>
      </w:pPr>
    </w:p>
    <w:p w14:paraId="2910E34B" w14:textId="058DA03E" w:rsidR="007F0E94" w:rsidRDefault="007F0E94" w:rsidP="007F0E94">
      <w:pPr>
        <w:autoSpaceDE w:val="0"/>
        <w:autoSpaceDN w:val="0"/>
        <w:adjustRightInd w:val="0"/>
        <w:spacing w:after="0" w:line="276" w:lineRule="auto"/>
        <w:jc w:val="both"/>
        <w:rPr>
          <w:rFonts w:cstheme="minorHAnsi"/>
          <w:lang w:val="en-US"/>
        </w:rPr>
      </w:pPr>
      <w:r w:rsidRPr="00583339">
        <w:rPr>
          <w:rFonts w:cstheme="minorHAnsi"/>
          <w:lang w:val="en-US"/>
        </w:rPr>
        <w:t xml:space="preserve">The human food-borne pathogen </w:t>
      </w:r>
      <w:r w:rsidRPr="00583339">
        <w:rPr>
          <w:rFonts w:cstheme="minorHAnsi"/>
          <w:i/>
          <w:lang w:val="en-US"/>
        </w:rPr>
        <w:t>Salmonella</w:t>
      </w:r>
      <w:r w:rsidRPr="00583339">
        <w:rPr>
          <w:rFonts w:cstheme="minorHAnsi"/>
          <w:lang w:val="en-US"/>
        </w:rPr>
        <w:t xml:space="preserve"> Typhimurium (</w:t>
      </w:r>
      <w:r w:rsidRPr="00583339">
        <w:rPr>
          <w:rFonts w:cstheme="minorHAnsi"/>
          <w:i/>
          <w:lang w:val="en-US"/>
        </w:rPr>
        <w:t>S.</w:t>
      </w:r>
      <w:r w:rsidRPr="00583339">
        <w:rPr>
          <w:rFonts w:cstheme="minorHAnsi"/>
          <w:lang w:val="en-US"/>
        </w:rPr>
        <w:t xml:space="preserve"> Tm), a causative agent of diarrhea, can grow up in this nutrient-depleted environment to high numbers and cause disease. </w:t>
      </w:r>
      <w:del w:id="16" w:author="Sunagawa  Shinichi" w:date="2024-09-11T11:10:00Z" w16du:dateUtc="2024-09-11T09:10:00Z">
        <w:r w:rsidRPr="00583339" w:rsidDel="00D5767D">
          <w:rPr>
            <w:rFonts w:cstheme="minorHAnsi"/>
            <w:lang w:val="en-US"/>
          </w:rPr>
          <w:delText>Animal experiments established that</w:delText>
        </w:r>
      </w:del>
      <w:ins w:id="17" w:author="Sunagawa  Shinichi" w:date="2024-09-11T11:10:00Z" w16du:dateUtc="2024-09-11T09:10:00Z">
        <w:r w:rsidR="00D5767D">
          <w:rPr>
            <w:rFonts w:cstheme="minorHAnsi"/>
            <w:lang w:val="en-US"/>
          </w:rPr>
          <w:t>The pathogen density in the</w:t>
        </w:r>
      </w:ins>
      <w:r w:rsidRPr="00583339">
        <w:rPr>
          <w:rFonts w:cstheme="minorHAnsi"/>
          <w:lang w:val="en-US"/>
        </w:rPr>
        <w:t xml:space="preserve"> gut lum</w:t>
      </w:r>
      <w:ins w:id="18" w:author="Sunagawa  Shinichi" w:date="2024-09-11T11:10:00Z" w16du:dateUtc="2024-09-11T09:10:00Z">
        <w:r w:rsidR="00D5767D">
          <w:rPr>
            <w:rFonts w:cstheme="minorHAnsi"/>
            <w:lang w:val="en-US"/>
          </w:rPr>
          <w:t xml:space="preserve">en </w:t>
        </w:r>
      </w:ins>
      <w:del w:id="19" w:author="Sunagawa  Shinichi" w:date="2024-09-11T11:10:00Z" w16du:dateUtc="2024-09-11T09:10:00Z">
        <w:r w:rsidRPr="00583339" w:rsidDel="00D5767D">
          <w:rPr>
            <w:rFonts w:cstheme="minorHAnsi"/>
            <w:lang w:val="en-US"/>
          </w:rPr>
          <w:delText xml:space="preserve">inal pathogen densities </w:delText>
        </w:r>
      </w:del>
      <w:r w:rsidRPr="00583339">
        <w:rPr>
          <w:rFonts w:cstheme="minorHAnsi"/>
          <w:lang w:val="en-US"/>
        </w:rPr>
        <w:t>must rise to 10</w:t>
      </w:r>
      <w:r w:rsidRPr="00583339">
        <w:rPr>
          <w:rFonts w:cstheme="minorHAnsi"/>
          <w:vertAlign w:val="superscript"/>
          <w:lang w:val="en-US"/>
        </w:rPr>
        <w:t>7</w:t>
      </w:r>
      <w:r w:rsidRPr="00583339">
        <w:rPr>
          <w:rFonts w:cstheme="minorHAnsi"/>
          <w:lang w:val="en-US"/>
        </w:rPr>
        <w:t>–10</w:t>
      </w:r>
      <w:r w:rsidRPr="00583339">
        <w:rPr>
          <w:rFonts w:cstheme="minorHAnsi"/>
          <w:vertAlign w:val="superscript"/>
          <w:lang w:val="en-US"/>
        </w:rPr>
        <w:t>8</w:t>
      </w:r>
      <w:r w:rsidRPr="00583339">
        <w:rPr>
          <w:rFonts w:cstheme="minorHAnsi"/>
          <w:lang w:val="en-US"/>
        </w:rPr>
        <w:t xml:space="preserve"> </w:t>
      </w:r>
      <w:r w:rsidR="00302307">
        <w:rPr>
          <w:rFonts w:cstheme="minorHAnsi"/>
          <w:lang w:val="en-US"/>
        </w:rPr>
        <w:t>colony forming units (</w:t>
      </w:r>
      <w:proofErr w:type="spellStart"/>
      <w:ins w:id="20" w:author="Sunagawa  Shinichi" w:date="2024-09-11T10:58:00Z" w16du:dateUtc="2024-09-11T08:58:00Z">
        <w:r w:rsidR="00302307">
          <w:rPr>
            <w:rFonts w:cstheme="minorHAnsi"/>
            <w:lang w:val="en-US"/>
          </w:rPr>
          <w:t>cfu</w:t>
        </w:r>
      </w:ins>
      <w:ins w:id="21" w:author="Sunagawa  Shinichi" w:date="2024-09-11T10:57:00Z" w16du:dateUtc="2024-09-11T08:57:00Z">
        <w:r w:rsidR="00302307">
          <w:rPr>
            <w:rFonts w:cstheme="minorHAnsi"/>
            <w:lang w:val="en-US"/>
          </w:rPr>
          <w:t>s</w:t>
        </w:r>
      </w:ins>
      <w:proofErr w:type="spellEnd"/>
      <w:del w:id="22" w:author="Sunagawa  Shinichi" w:date="2024-09-11T10:57:00Z" w16du:dateUtc="2024-09-11T08:57:00Z">
        <w:r w:rsidRPr="00583339" w:rsidDel="00302307">
          <w:rPr>
            <w:rFonts w:cstheme="minorHAnsi"/>
            <w:lang w:val="en-US"/>
          </w:rPr>
          <w:delText>cfu</w:delText>
        </w:r>
      </w:del>
      <w:r w:rsidR="00302307">
        <w:rPr>
          <w:rFonts w:cstheme="minorHAnsi"/>
          <w:lang w:val="en-US"/>
        </w:rPr>
        <w:t xml:space="preserve">) </w:t>
      </w:r>
      <w:r w:rsidRPr="00583339">
        <w:rPr>
          <w:rFonts w:cstheme="minorHAnsi"/>
          <w:lang w:val="en-US"/>
        </w:rPr>
        <w:t xml:space="preserve">per gram of stool before enteropathy is elicited </w:t>
      </w:r>
      <w:ins w:id="23" w:author="Sunagawa  Shinichi" w:date="2024-09-11T11:10:00Z" w16du:dateUtc="2024-09-11T09:10:00Z">
        <w:r w:rsidR="00D5767D">
          <w:rPr>
            <w:rFonts w:cstheme="minorHAnsi"/>
            <w:lang w:val="en-US"/>
          </w:rPr>
          <w:t xml:space="preserve">as </w:t>
        </w:r>
      </w:ins>
      <w:ins w:id="24" w:author="Sunagawa  Shinichi" w:date="2024-09-11T11:11:00Z" w16du:dateUtc="2024-09-11T09:11:00Z">
        <w:r w:rsidR="00D5767D">
          <w:rPr>
            <w:rFonts w:cstheme="minorHAnsi"/>
            <w:lang w:val="en-US"/>
          </w:rPr>
          <w:t xml:space="preserve">previously shown in animal experiments </w:t>
        </w:r>
      </w:ins>
      <w:r w:rsidRPr="00583339">
        <w:rPr>
          <w:rFonts w:cstheme="minorHAnsi"/>
          <w:lang w:val="en-US"/>
        </w:rPr>
        <w:t xml:space="preserve">(Ackermann et al., 2008; Barthel et al., 2003). </w:t>
      </w:r>
      <w:ins w:id="25" w:author="Sunagawa  Shinichi" w:date="2024-09-11T11:13:00Z" w16du:dateUtc="2024-09-11T09:13:00Z">
        <w:r w:rsidR="005220AB">
          <w:rPr>
            <w:rFonts w:cstheme="minorHAnsi"/>
            <w:lang w:val="en-US"/>
          </w:rPr>
          <w:t>W</w:t>
        </w:r>
        <w:r w:rsidR="005220AB" w:rsidRPr="00583339">
          <w:rPr>
            <w:rFonts w:cstheme="minorHAnsi"/>
            <w:lang w:val="en-US"/>
          </w:rPr>
          <w:t xml:space="preserve">e </w:t>
        </w:r>
        <w:commentRangeStart w:id="26"/>
        <w:r w:rsidR="005220AB" w:rsidRPr="00583339">
          <w:rPr>
            <w:rFonts w:cstheme="minorHAnsi"/>
            <w:lang w:val="en-US"/>
          </w:rPr>
          <w:t xml:space="preserve">speculated </w:t>
        </w:r>
      </w:ins>
      <w:commentRangeEnd w:id="26"/>
      <w:ins w:id="27" w:author="Sunagawa  Shinichi" w:date="2024-09-11T11:14:00Z" w16du:dateUtc="2024-09-11T09:14:00Z">
        <w:r w:rsidR="005220AB">
          <w:rPr>
            <w:rStyle w:val="CommentReference"/>
          </w:rPr>
          <w:commentReference w:id="26"/>
        </w:r>
      </w:ins>
      <w:ins w:id="28" w:author="Sunagawa  Shinichi" w:date="2024-09-11T11:13:00Z" w16du:dateUtc="2024-09-11T09:13:00Z">
        <w:r w:rsidR="005220AB" w:rsidRPr="00583339">
          <w:rPr>
            <w:rFonts w:cstheme="minorHAnsi"/>
            <w:lang w:val="en-US"/>
          </w:rPr>
          <w:t xml:space="preserve">that </w:t>
        </w:r>
        <w:r w:rsidR="005220AB" w:rsidRPr="00583339">
          <w:rPr>
            <w:rFonts w:cstheme="minorHAnsi"/>
            <w:i/>
            <w:lang w:val="en-US"/>
          </w:rPr>
          <w:t>S.</w:t>
        </w:r>
        <w:r w:rsidR="005220AB" w:rsidRPr="00583339">
          <w:rPr>
            <w:rFonts w:cstheme="minorHAnsi"/>
            <w:lang w:val="en-US"/>
          </w:rPr>
          <w:t xml:space="preserve"> Tm can grow initially in the face of an intact microbiota and a healthy gut</w:t>
        </w:r>
      </w:ins>
      <w:ins w:id="29" w:author="Sunagawa  Shinichi" w:date="2024-09-11T11:14:00Z" w16du:dateUtc="2024-09-11T09:14:00Z">
        <w:r w:rsidR="005220AB">
          <w:rPr>
            <w:rFonts w:cstheme="minorHAnsi"/>
            <w:lang w:val="en-US"/>
          </w:rPr>
          <w:t>,</w:t>
        </w:r>
      </w:ins>
      <w:ins w:id="30" w:author="Sunagawa  Shinichi" w:date="2024-09-11T11:13:00Z" w16du:dateUtc="2024-09-11T09:13:00Z">
        <w:r w:rsidR="005220AB" w:rsidRPr="00583339">
          <w:rPr>
            <w:rFonts w:cstheme="minorHAnsi"/>
            <w:lang w:val="en-US"/>
          </w:rPr>
          <w:t xml:space="preserve"> </w:t>
        </w:r>
      </w:ins>
      <w:ins w:id="31" w:author="Sunagawa  Shinichi" w:date="2024-09-11T11:14:00Z" w16du:dateUtc="2024-09-11T09:14:00Z">
        <w:r w:rsidR="005220AB">
          <w:rPr>
            <w:rFonts w:cstheme="minorHAnsi"/>
            <w:lang w:val="en-US"/>
          </w:rPr>
          <w:t>a</w:t>
        </w:r>
      </w:ins>
      <w:del w:id="32" w:author="Sunagawa  Shinichi" w:date="2024-09-11T11:14:00Z" w16du:dateUtc="2024-09-11T09:14:00Z">
        <w:r w:rsidRPr="00583339" w:rsidDel="005220AB">
          <w:rPr>
            <w:rFonts w:cstheme="minorHAnsi"/>
            <w:lang w:val="en-US"/>
          </w:rPr>
          <w:delText>A</w:delText>
        </w:r>
      </w:del>
      <w:r w:rsidRPr="00583339">
        <w:rPr>
          <w:rFonts w:cstheme="minorHAnsi"/>
          <w:lang w:val="en-US"/>
        </w:rPr>
        <w:t>s inoculum sizes as low as 10</w:t>
      </w:r>
      <w:r w:rsidRPr="00583339">
        <w:rPr>
          <w:rFonts w:cstheme="minorHAnsi"/>
          <w:vertAlign w:val="superscript"/>
          <w:lang w:val="en-US"/>
        </w:rPr>
        <w:t>3</w:t>
      </w:r>
      <w:r w:rsidRPr="00583339">
        <w:rPr>
          <w:rFonts w:cstheme="minorHAnsi"/>
          <w:lang w:val="en-US"/>
        </w:rPr>
        <w:t>–10</w:t>
      </w:r>
      <w:r w:rsidRPr="00583339">
        <w:rPr>
          <w:rFonts w:cstheme="minorHAnsi"/>
          <w:vertAlign w:val="superscript"/>
          <w:lang w:val="en-US"/>
        </w:rPr>
        <w:t>5</w:t>
      </w:r>
      <w:r w:rsidRPr="00583339">
        <w:rPr>
          <w:rFonts w:cstheme="minorHAnsi"/>
          <w:lang w:val="en-US"/>
        </w:rPr>
        <w:t xml:space="preserve"> bacteria suffice for causing diarrheal disease in humans (</w:t>
      </w:r>
      <w:commentRangeStart w:id="33"/>
      <w:r w:rsidRPr="00583339">
        <w:rPr>
          <w:rFonts w:cstheme="minorHAnsi"/>
          <w:lang w:val="en-US"/>
        </w:rPr>
        <w:t>Food and Agriculture Organization of the United Nations</w:t>
      </w:r>
      <w:commentRangeEnd w:id="33"/>
      <w:r w:rsidR="005220AB">
        <w:rPr>
          <w:rStyle w:val="CommentReference"/>
        </w:rPr>
        <w:commentReference w:id="33"/>
      </w:r>
      <w:r w:rsidRPr="00583339">
        <w:rPr>
          <w:rFonts w:cstheme="minorHAnsi"/>
          <w:lang w:val="en-US"/>
        </w:rPr>
        <w:t>, 2002)</w:t>
      </w:r>
      <w:del w:id="34" w:author="Sunagawa  Shinichi" w:date="2024-09-11T11:14:00Z" w16du:dateUtc="2024-09-11T09:14:00Z">
        <w:r w:rsidRPr="00583339" w:rsidDel="005220AB">
          <w:rPr>
            <w:rFonts w:cstheme="minorHAnsi"/>
            <w:lang w:val="en-US"/>
          </w:rPr>
          <w:delText>,</w:delText>
        </w:r>
      </w:del>
      <w:del w:id="35" w:author="Sunagawa  Shinichi" w:date="2024-09-11T11:13:00Z" w16du:dateUtc="2024-09-11T09:13:00Z">
        <w:r w:rsidRPr="00583339" w:rsidDel="005220AB">
          <w:rPr>
            <w:rFonts w:cstheme="minorHAnsi"/>
            <w:lang w:val="en-US"/>
          </w:rPr>
          <w:delText xml:space="preserve"> we speculated that </w:delText>
        </w:r>
        <w:r w:rsidRPr="00583339" w:rsidDel="005220AB">
          <w:rPr>
            <w:rFonts w:cstheme="minorHAnsi"/>
            <w:i/>
            <w:lang w:val="en-US"/>
          </w:rPr>
          <w:delText>S.</w:delText>
        </w:r>
        <w:r w:rsidRPr="00583339" w:rsidDel="005220AB">
          <w:rPr>
            <w:rFonts w:cstheme="minorHAnsi"/>
            <w:lang w:val="en-US"/>
          </w:rPr>
          <w:delText xml:space="preserve"> Tm can grow initially in the face of an intact microbiota and a healthy gut</w:delText>
        </w:r>
      </w:del>
      <w:r w:rsidRPr="00583339">
        <w:rPr>
          <w:rFonts w:cstheme="minorHAnsi"/>
          <w:lang w:val="en-US"/>
        </w:rPr>
        <w:t xml:space="preserve">. The mechanisms fostering </w:t>
      </w:r>
      <w:r w:rsidRPr="00583339">
        <w:rPr>
          <w:rFonts w:cstheme="minorHAnsi"/>
          <w:i/>
          <w:lang w:val="en-US"/>
        </w:rPr>
        <w:t>S.</w:t>
      </w:r>
      <w:r w:rsidRPr="00583339">
        <w:rPr>
          <w:rFonts w:cstheme="minorHAnsi"/>
          <w:lang w:val="en-US"/>
        </w:rPr>
        <w:t xml:space="preserve"> Tm growth in this densely colonized niche are still enigmatic. Such mechanisms can be studied using ‘‘low complex microbiota’’ (LCM) mice, which are permissive for gut luminal </w:t>
      </w:r>
      <w:r w:rsidRPr="00583339">
        <w:rPr>
          <w:rFonts w:cstheme="minorHAnsi"/>
          <w:i/>
          <w:lang w:val="en-US"/>
        </w:rPr>
        <w:t>S.</w:t>
      </w:r>
      <w:r w:rsidRPr="00583339">
        <w:rPr>
          <w:rFonts w:cstheme="minorHAnsi"/>
          <w:lang w:val="en-US"/>
        </w:rPr>
        <w:t xml:space="preserve"> Tm growth (Figure S1A available online; </w:t>
      </w:r>
      <w:proofErr w:type="spellStart"/>
      <w:r w:rsidRPr="00583339">
        <w:rPr>
          <w:rFonts w:cstheme="minorHAnsi"/>
          <w:lang w:val="en-US"/>
        </w:rPr>
        <w:t>Stecher</w:t>
      </w:r>
      <w:proofErr w:type="spellEnd"/>
      <w:r w:rsidRPr="00583339">
        <w:rPr>
          <w:rFonts w:cstheme="minorHAnsi"/>
          <w:lang w:val="en-US"/>
        </w:rPr>
        <w:t xml:space="preserve"> et al., 2010). LCM mice are ex-germ</w:t>
      </w:r>
      <w:r>
        <w:rPr>
          <w:rFonts w:cstheme="minorHAnsi"/>
          <w:lang w:val="en-US"/>
        </w:rPr>
        <w:t xml:space="preserve">-free mice which had originally </w:t>
      </w:r>
      <w:r w:rsidRPr="00583339">
        <w:rPr>
          <w:rFonts w:cstheme="minorHAnsi"/>
          <w:lang w:val="en-US"/>
        </w:rPr>
        <w:t xml:space="preserve">been colonized with strains of the ‘‘Altered </w:t>
      </w:r>
      <w:proofErr w:type="spellStart"/>
      <w:r w:rsidRPr="00583339">
        <w:rPr>
          <w:rFonts w:cstheme="minorHAnsi"/>
          <w:lang w:val="en-US"/>
        </w:rPr>
        <w:t>Schaedler</w:t>
      </w:r>
      <w:proofErr w:type="spellEnd"/>
      <w:r w:rsidRPr="00583339">
        <w:rPr>
          <w:rFonts w:cstheme="minorHAnsi"/>
          <w:lang w:val="en-US"/>
        </w:rPr>
        <w:t xml:space="preserve"> Flora’’ (Experimental Procedures, Figures S1A and S1E) and permit gut luminal colonization by inocu</w:t>
      </w:r>
      <w:r>
        <w:rPr>
          <w:rFonts w:cstheme="minorHAnsi"/>
          <w:lang w:val="en-US"/>
        </w:rPr>
        <w:t>l</w:t>
      </w:r>
      <w:r w:rsidRPr="00583339">
        <w:rPr>
          <w:rFonts w:cstheme="minorHAnsi"/>
          <w:lang w:val="en-US"/>
        </w:rPr>
        <w:t xml:space="preserve">um sizes as small as 200 </w:t>
      </w:r>
      <w:del w:id="36" w:author="Sunagawa  Shinichi" w:date="2024-09-11T10:59:00Z" w16du:dateUtc="2024-09-11T08:59:00Z">
        <w:r w:rsidRPr="00583339" w:rsidDel="00302307">
          <w:rPr>
            <w:rFonts w:cstheme="minorHAnsi"/>
            <w:lang w:val="en-US"/>
          </w:rPr>
          <w:delText>colony</w:delText>
        </w:r>
        <w:r w:rsidDel="00302307">
          <w:rPr>
            <w:rFonts w:cstheme="minorHAnsi"/>
            <w:lang w:val="en-US"/>
          </w:rPr>
          <w:delText>-</w:delText>
        </w:r>
        <w:r w:rsidRPr="00583339" w:rsidDel="00302307">
          <w:rPr>
            <w:rFonts w:cstheme="minorHAnsi"/>
            <w:lang w:val="en-US"/>
          </w:rPr>
          <w:delText>forming units</w:delText>
        </w:r>
      </w:del>
      <w:proofErr w:type="spellStart"/>
      <w:ins w:id="37" w:author="Sunagawa  Shinichi" w:date="2024-09-11T10:59:00Z" w16du:dateUtc="2024-09-11T08:59:00Z">
        <w:r w:rsidR="00302307">
          <w:rPr>
            <w:rFonts w:cstheme="minorHAnsi"/>
            <w:lang w:val="en-US"/>
          </w:rPr>
          <w:t>cfus</w:t>
        </w:r>
      </w:ins>
      <w:proofErr w:type="spellEnd"/>
      <w:r w:rsidRPr="00583339">
        <w:rPr>
          <w:rFonts w:cstheme="minorHAnsi"/>
          <w:lang w:val="en-US"/>
        </w:rPr>
        <w:t xml:space="preserve"> (</w:t>
      </w:r>
      <w:proofErr w:type="spellStart"/>
      <w:r w:rsidRPr="00583339">
        <w:rPr>
          <w:rFonts w:cstheme="minorHAnsi"/>
          <w:lang w:val="en-US"/>
        </w:rPr>
        <w:t>Endt</w:t>
      </w:r>
      <w:proofErr w:type="spellEnd"/>
      <w:r w:rsidRPr="00583339">
        <w:rPr>
          <w:rFonts w:cstheme="minorHAnsi"/>
          <w:lang w:val="en-US"/>
        </w:rPr>
        <w:t xml:space="preserve"> et al., 2010; </w:t>
      </w:r>
      <w:proofErr w:type="spellStart"/>
      <w:r w:rsidRPr="00583339">
        <w:rPr>
          <w:rFonts w:cstheme="minorHAnsi"/>
          <w:lang w:val="en-US"/>
        </w:rPr>
        <w:t>Stecher</w:t>
      </w:r>
      <w:proofErr w:type="spellEnd"/>
      <w:r w:rsidRPr="00583339">
        <w:rPr>
          <w:rFonts w:cstheme="minorHAnsi"/>
          <w:lang w:val="en-US"/>
        </w:rPr>
        <w:t xml:space="preserve"> et al., 2010). During the first 2 days, there are no signs of enteropathy, and the pathogen grows up to 10</w:t>
      </w:r>
      <w:r w:rsidRPr="00583339">
        <w:rPr>
          <w:rFonts w:cstheme="minorHAnsi"/>
          <w:vertAlign w:val="superscript"/>
          <w:lang w:val="en-US"/>
        </w:rPr>
        <w:t>6</w:t>
      </w:r>
      <w:r w:rsidRPr="00583339">
        <w:rPr>
          <w:rFonts w:cstheme="minorHAnsi"/>
          <w:lang w:val="en-US"/>
        </w:rPr>
        <w:t>–10</w:t>
      </w:r>
      <w:r w:rsidRPr="00583339">
        <w:rPr>
          <w:rFonts w:cstheme="minorHAnsi"/>
          <w:vertAlign w:val="superscript"/>
          <w:lang w:val="en-US"/>
        </w:rPr>
        <w:t>8</w:t>
      </w:r>
      <w:r w:rsidRPr="00583339">
        <w:rPr>
          <w:rFonts w:cstheme="minorHAnsi"/>
          <w:lang w:val="en-US"/>
        </w:rPr>
        <w:t xml:space="preserve"> </w:t>
      </w:r>
      <w:proofErr w:type="spellStart"/>
      <w:r w:rsidRPr="00583339">
        <w:rPr>
          <w:rFonts w:cstheme="minorHAnsi"/>
          <w:lang w:val="en-US"/>
        </w:rPr>
        <w:t>cfu</w:t>
      </w:r>
      <w:proofErr w:type="spellEnd"/>
      <w:r w:rsidRPr="00583339">
        <w:rPr>
          <w:rFonts w:cstheme="minorHAnsi"/>
          <w:lang w:val="en-US"/>
        </w:rPr>
        <w:t>/g stool (gut ecosystem invasion). Mucosal inflammation is elicited at days 3–4 postinfection when the pathogen reaches a final density of 10</w:t>
      </w:r>
      <w:r w:rsidRPr="00EA004C">
        <w:rPr>
          <w:rFonts w:cstheme="minorHAnsi"/>
          <w:vertAlign w:val="superscript"/>
          <w:lang w:val="en-US"/>
        </w:rPr>
        <w:t>8</w:t>
      </w:r>
      <w:r w:rsidRPr="00583339">
        <w:rPr>
          <w:rFonts w:cstheme="minorHAnsi"/>
          <w:lang w:val="en-US"/>
        </w:rPr>
        <w:t>–10</w:t>
      </w:r>
      <w:r w:rsidRPr="00EA004C">
        <w:rPr>
          <w:rFonts w:cstheme="minorHAnsi"/>
          <w:vertAlign w:val="superscript"/>
          <w:lang w:val="en-US"/>
        </w:rPr>
        <w:t>10</w:t>
      </w:r>
      <w:r w:rsidRPr="00583339">
        <w:rPr>
          <w:rFonts w:cstheme="minorHAnsi"/>
          <w:lang w:val="en-US"/>
        </w:rPr>
        <w:t xml:space="preserve"> </w:t>
      </w:r>
      <w:proofErr w:type="spellStart"/>
      <w:r w:rsidRPr="00583339">
        <w:rPr>
          <w:rFonts w:cstheme="minorHAnsi"/>
          <w:lang w:val="en-US"/>
        </w:rPr>
        <w:t>cfu</w:t>
      </w:r>
      <w:proofErr w:type="spellEnd"/>
      <w:r w:rsidRPr="00583339">
        <w:rPr>
          <w:rFonts w:cstheme="minorHAnsi"/>
          <w:lang w:val="en-US"/>
        </w:rPr>
        <w:t>/g stool (</w:t>
      </w:r>
      <w:proofErr w:type="spellStart"/>
      <w:r w:rsidRPr="00583339">
        <w:rPr>
          <w:rFonts w:cstheme="minorHAnsi"/>
          <w:lang w:val="en-US"/>
        </w:rPr>
        <w:t>Stecher</w:t>
      </w:r>
      <w:proofErr w:type="spellEnd"/>
      <w:r w:rsidRPr="00583339">
        <w:rPr>
          <w:rFonts w:cstheme="minorHAnsi"/>
          <w:lang w:val="en-US"/>
        </w:rPr>
        <w:t xml:space="preserve"> and Hardt, 2011; Figure S1A). Thus, </w:t>
      </w:r>
      <w:r w:rsidRPr="00583339">
        <w:rPr>
          <w:rFonts w:cstheme="minorHAnsi"/>
          <w:lang w:val="en-US"/>
        </w:rPr>
        <w:lastRenderedPageBreak/>
        <w:t>LCM mice should provide a unique model for analyzing all phases of host gut colonization, including gut ecosystem invasion.</w:t>
      </w:r>
    </w:p>
    <w:p w14:paraId="07EC8120" w14:textId="77777777" w:rsidR="007F0E94" w:rsidRDefault="007F0E94" w:rsidP="007F0E94">
      <w:pPr>
        <w:autoSpaceDE w:val="0"/>
        <w:autoSpaceDN w:val="0"/>
        <w:adjustRightInd w:val="0"/>
        <w:spacing w:after="0" w:line="276" w:lineRule="auto"/>
        <w:jc w:val="both"/>
        <w:rPr>
          <w:rFonts w:cstheme="minorHAnsi"/>
          <w:lang w:val="en-US"/>
        </w:rPr>
      </w:pPr>
    </w:p>
    <w:p w14:paraId="17226A0A" w14:textId="77777777" w:rsidR="007F0E94" w:rsidRDefault="007F0E94" w:rsidP="007F0E94">
      <w:pPr>
        <w:autoSpaceDE w:val="0"/>
        <w:autoSpaceDN w:val="0"/>
        <w:adjustRightInd w:val="0"/>
        <w:spacing w:after="0" w:line="276" w:lineRule="auto"/>
        <w:jc w:val="both"/>
        <w:rPr>
          <w:rFonts w:cstheme="minorHAnsi"/>
          <w:lang w:val="en-US"/>
        </w:rPr>
      </w:pPr>
    </w:p>
    <w:p w14:paraId="384764D9" w14:textId="77777777" w:rsidR="00014E8B" w:rsidRDefault="00014E8B" w:rsidP="007F0E94">
      <w:pPr>
        <w:autoSpaceDE w:val="0"/>
        <w:autoSpaceDN w:val="0"/>
        <w:adjustRightInd w:val="0"/>
        <w:spacing w:after="0" w:line="276" w:lineRule="auto"/>
        <w:jc w:val="both"/>
        <w:rPr>
          <w:rStyle w:val="inline-l2-heading1"/>
          <w:rFonts w:cstheme="minorHAnsi"/>
          <w:color w:val="403838"/>
          <w:lang w:val="en"/>
        </w:rPr>
      </w:pPr>
      <w:r>
        <w:rPr>
          <w:rStyle w:val="inline-l2-heading1"/>
          <w:rFonts w:cstheme="minorHAnsi"/>
          <w:color w:val="403838"/>
          <w:lang w:val="en"/>
          <w:specVanish w:val="0"/>
        </w:rPr>
        <w:t>Methods</w:t>
      </w:r>
    </w:p>
    <w:p w14:paraId="5798C383" w14:textId="5F6198E4" w:rsidR="007F0E94" w:rsidRDefault="007F0E94" w:rsidP="007F0E94">
      <w:pPr>
        <w:autoSpaceDE w:val="0"/>
        <w:autoSpaceDN w:val="0"/>
        <w:adjustRightInd w:val="0"/>
        <w:spacing w:after="0" w:line="276" w:lineRule="auto"/>
        <w:jc w:val="both"/>
        <w:rPr>
          <w:rFonts w:cstheme="minorHAnsi"/>
          <w:color w:val="403838"/>
          <w:lang w:val="en"/>
        </w:rPr>
      </w:pPr>
      <w:r w:rsidRPr="00E663E0">
        <w:rPr>
          <w:rStyle w:val="inline-l2-heading1"/>
          <w:rFonts w:cstheme="minorHAnsi"/>
          <w:color w:val="403838"/>
          <w:lang w:val="en"/>
          <w:specVanish w:val="0"/>
        </w:rPr>
        <w:t xml:space="preserve">Analysis of polymyxin B resistance. </w:t>
      </w:r>
      <w:r w:rsidRPr="00E663E0">
        <w:rPr>
          <w:rFonts w:cstheme="minorHAnsi"/>
          <w:color w:val="403838"/>
          <w:lang w:val="en"/>
        </w:rPr>
        <w:t>The equivalent of 1 OD</w:t>
      </w:r>
      <w:r w:rsidRPr="00E663E0">
        <w:rPr>
          <w:rFonts w:cstheme="minorHAnsi"/>
          <w:color w:val="403838"/>
          <w:vertAlign w:val="subscript"/>
          <w:lang w:val="en"/>
        </w:rPr>
        <w:t>600</w:t>
      </w:r>
      <w:r w:rsidRPr="00E663E0">
        <w:rPr>
          <w:rFonts w:cstheme="minorHAnsi"/>
          <w:color w:val="403838"/>
          <w:lang w:val="en"/>
        </w:rPr>
        <w:t xml:space="preserve"> unit/</w:t>
      </w:r>
      <w:del w:id="38" w:author="Sunagawa  Shinichi" w:date="2024-09-11T11:20:00Z" w16du:dateUtc="2024-09-11T09:20:00Z">
        <w:r w:rsidRPr="00E663E0" w:rsidDel="005220AB">
          <w:rPr>
            <w:rFonts w:cstheme="minorHAnsi"/>
            <w:color w:val="403838"/>
            <w:lang w:val="en"/>
          </w:rPr>
          <w:delText xml:space="preserve">ml </w:delText>
        </w:r>
      </w:del>
      <w:ins w:id="39" w:author="Sunagawa  Shinichi" w:date="2024-09-11T11:20:00Z" w16du:dateUtc="2024-09-11T09:20:00Z">
        <w:r w:rsidR="005220AB" w:rsidRPr="00E663E0">
          <w:rPr>
            <w:rFonts w:cstheme="minorHAnsi"/>
            <w:color w:val="403838"/>
            <w:lang w:val="en"/>
          </w:rPr>
          <w:t>m</w:t>
        </w:r>
        <w:r w:rsidR="005220AB">
          <w:rPr>
            <w:rFonts w:cstheme="minorHAnsi"/>
            <w:color w:val="403838"/>
            <w:lang w:val="en"/>
          </w:rPr>
          <w:t>L</w:t>
        </w:r>
        <w:r w:rsidR="005220AB" w:rsidRPr="00E663E0">
          <w:rPr>
            <w:rFonts w:cstheme="minorHAnsi"/>
            <w:color w:val="403838"/>
            <w:lang w:val="en"/>
          </w:rPr>
          <w:t xml:space="preserve"> </w:t>
        </w:r>
      </w:ins>
      <w:r w:rsidRPr="00E663E0">
        <w:rPr>
          <w:rFonts w:cstheme="minorHAnsi"/>
          <w:color w:val="403838"/>
          <w:lang w:val="en"/>
        </w:rPr>
        <w:t xml:space="preserve">of exponentially growing cultures from serovar Typhimurium wild-type strain SL1344 or the serovar Typhimurium </w:t>
      </w:r>
      <w:proofErr w:type="spellStart"/>
      <w:r w:rsidRPr="00E663E0">
        <w:rPr>
          <w:rFonts w:cstheme="minorHAnsi"/>
          <w:color w:val="403838"/>
          <w:lang w:val="en"/>
        </w:rPr>
        <w:t>Δ</w:t>
      </w:r>
      <w:r w:rsidRPr="00E663E0">
        <w:rPr>
          <w:rFonts w:cstheme="minorHAnsi"/>
          <w:i/>
          <w:iCs/>
          <w:color w:val="403838"/>
          <w:lang w:val="en"/>
        </w:rPr>
        <w:t>wbaP</w:t>
      </w:r>
      <w:proofErr w:type="spellEnd"/>
      <w:r w:rsidRPr="00E663E0">
        <w:rPr>
          <w:rFonts w:cstheme="minorHAnsi"/>
          <w:color w:val="403838"/>
          <w:lang w:val="en"/>
        </w:rPr>
        <w:t xml:space="preserve"> strain (SKI12) was spun down</w:t>
      </w:r>
      <w:ins w:id="40" w:author="Sunagawa  Shinichi" w:date="2024-09-11T11:16:00Z" w16du:dateUtc="2024-09-11T09:16:00Z">
        <w:r w:rsidR="005220AB">
          <w:rPr>
            <w:rFonts w:cstheme="minorHAnsi"/>
            <w:color w:val="403838"/>
            <w:lang w:val="en"/>
          </w:rPr>
          <w:t xml:space="preserve"> (</w:t>
        </w:r>
      </w:ins>
      <w:ins w:id="41" w:author="Sunagawa  Shinichi" w:date="2024-09-11T11:17:00Z" w16du:dateUtc="2024-09-11T09:17:00Z">
        <w:r w:rsidR="005220AB">
          <w:rPr>
            <w:rFonts w:cstheme="minorHAnsi"/>
            <w:color w:val="403838"/>
            <w:lang w:val="en"/>
          </w:rPr>
          <w:t xml:space="preserve">x </w:t>
        </w:r>
      </w:ins>
      <w:ins w:id="42" w:author="Sunagawa  Shinichi" w:date="2024-09-11T11:16:00Z" w16du:dateUtc="2024-09-11T09:16:00Z">
        <w:r w:rsidR="005220AB">
          <w:rPr>
            <w:rFonts w:cstheme="minorHAnsi"/>
            <w:color w:val="403838"/>
            <w:lang w:val="en"/>
          </w:rPr>
          <w:t>g</w:t>
        </w:r>
      </w:ins>
      <w:ins w:id="43" w:author="Sunagawa  Shinichi" w:date="2024-09-11T11:17:00Z" w16du:dateUtc="2024-09-11T09:17:00Z">
        <w:r w:rsidR="005220AB">
          <w:rPr>
            <w:rFonts w:cstheme="minorHAnsi"/>
            <w:color w:val="403838"/>
            <w:lang w:val="en"/>
          </w:rPr>
          <w:t>/rpm</w:t>
        </w:r>
      </w:ins>
      <w:ins w:id="44" w:author="Sunagawa  Shinichi" w:date="2024-09-11T11:16:00Z" w16du:dateUtc="2024-09-11T09:16:00Z">
        <w:r w:rsidR="005220AB">
          <w:rPr>
            <w:rFonts w:cstheme="minorHAnsi"/>
            <w:color w:val="403838"/>
            <w:lang w:val="en"/>
          </w:rPr>
          <w:t xml:space="preserve">, </w:t>
        </w:r>
      </w:ins>
      <w:ins w:id="45" w:author="Sunagawa  Shinichi" w:date="2024-09-11T11:17:00Z" w16du:dateUtc="2024-09-11T09:17:00Z">
        <w:r w:rsidR="005220AB">
          <w:rPr>
            <w:rFonts w:cstheme="minorHAnsi"/>
            <w:color w:val="403838"/>
            <w:lang w:val="en"/>
          </w:rPr>
          <w:t>y min)</w:t>
        </w:r>
      </w:ins>
      <w:r w:rsidRPr="00E663E0">
        <w:rPr>
          <w:rFonts w:cstheme="minorHAnsi"/>
          <w:color w:val="403838"/>
          <w:lang w:val="en"/>
        </w:rPr>
        <w:t xml:space="preserve">, resuspended in 150 </w:t>
      </w:r>
      <w:del w:id="46" w:author="Sunagawa  Shinichi" w:date="2024-09-11T11:20:00Z" w16du:dateUtc="2024-09-11T09:20:00Z">
        <w:r w:rsidRPr="00E663E0" w:rsidDel="005220AB">
          <w:rPr>
            <w:rFonts w:cstheme="minorHAnsi"/>
            <w:color w:val="403838"/>
            <w:lang w:val="en"/>
          </w:rPr>
          <w:delText xml:space="preserve">μl </w:delText>
        </w:r>
      </w:del>
      <w:proofErr w:type="spellStart"/>
      <w:ins w:id="47" w:author="Sunagawa  Shinichi" w:date="2024-09-11T11:20:00Z" w16du:dateUtc="2024-09-11T09:20:00Z">
        <w:r w:rsidR="005220AB" w:rsidRPr="00E663E0">
          <w:rPr>
            <w:rFonts w:cstheme="minorHAnsi"/>
            <w:color w:val="403838"/>
            <w:lang w:val="en"/>
          </w:rPr>
          <w:t>μ</w:t>
        </w:r>
        <w:r w:rsidR="005220AB">
          <w:rPr>
            <w:rFonts w:cstheme="minorHAnsi"/>
            <w:color w:val="403838"/>
            <w:lang w:val="en"/>
          </w:rPr>
          <w:t>L</w:t>
        </w:r>
        <w:proofErr w:type="spellEnd"/>
        <w:r w:rsidR="005220AB" w:rsidRPr="00E663E0">
          <w:rPr>
            <w:rFonts w:cstheme="minorHAnsi"/>
            <w:color w:val="403838"/>
            <w:lang w:val="en"/>
          </w:rPr>
          <w:t xml:space="preserve"> </w:t>
        </w:r>
      </w:ins>
      <w:r w:rsidRPr="00E663E0">
        <w:rPr>
          <w:rFonts w:cstheme="minorHAnsi"/>
          <w:color w:val="403838"/>
          <w:lang w:val="en"/>
        </w:rPr>
        <w:t>cold sterile 1× phosphate-buffered saline (PBS</w:t>
      </w:r>
      <w:ins w:id="48" w:author="Sunagawa  Shinichi" w:date="2024-09-11T11:18:00Z" w16du:dateUtc="2024-09-11T09:18:00Z">
        <w:r w:rsidR="005220AB">
          <w:rPr>
            <w:rFonts w:cstheme="minorHAnsi"/>
            <w:color w:val="403838"/>
            <w:lang w:val="en"/>
          </w:rPr>
          <w:t>; vendor/product#</w:t>
        </w:r>
      </w:ins>
      <w:r w:rsidRPr="00E663E0">
        <w:rPr>
          <w:rFonts w:cstheme="minorHAnsi"/>
          <w:color w:val="403838"/>
          <w:lang w:val="en"/>
        </w:rPr>
        <w:t>), and diluted 5 × 10</w:t>
      </w:r>
      <w:r w:rsidRPr="00E663E0">
        <w:rPr>
          <w:rFonts w:cstheme="minorHAnsi"/>
          <w:color w:val="403838"/>
          <w:vertAlign w:val="superscript"/>
          <w:lang w:val="en"/>
        </w:rPr>
        <w:t>6</w:t>
      </w:r>
      <w:r w:rsidRPr="00E663E0">
        <w:rPr>
          <w:rFonts w:cstheme="minorHAnsi"/>
          <w:color w:val="403838"/>
          <w:lang w:val="en"/>
        </w:rPr>
        <w:t xml:space="preserve">-fold before use. For the assay, 45 </w:t>
      </w:r>
      <w:proofErr w:type="spellStart"/>
      <w:r w:rsidRPr="00E663E0">
        <w:rPr>
          <w:rFonts w:cstheme="minorHAnsi"/>
          <w:color w:val="403838"/>
          <w:lang w:val="en"/>
        </w:rPr>
        <w:t>μl</w:t>
      </w:r>
      <w:proofErr w:type="spellEnd"/>
      <w:r w:rsidRPr="00E663E0">
        <w:rPr>
          <w:rFonts w:cstheme="minorHAnsi"/>
          <w:color w:val="403838"/>
          <w:lang w:val="en"/>
        </w:rPr>
        <w:t xml:space="preserve"> of the diluted cultures was mixed with 5 </w:t>
      </w:r>
      <w:del w:id="49" w:author="Sunagawa  Shinichi" w:date="2024-09-11T11:20:00Z" w16du:dateUtc="2024-09-11T09:20:00Z">
        <w:r w:rsidRPr="00E663E0" w:rsidDel="005220AB">
          <w:rPr>
            <w:rFonts w:cstheme="minorHAnsi"/>
            <w:color w:val="403838"/>
            <w:lang w:val="en"/>
          </w:rPr>
          <w:delText xml:space="preserve">μl </w:delText>
        </w:r>
      </w:del>
      <w:proofErr w:type="spellStart"/>
      <w:ins w:id="50" w:author="Sunagawa  Shinichi" w:date="2024-09-11T11:20:00Z" w16du:dateUtc="2024-09-11T09:20:00Z">
        <w:r w:rsidR="005220AB" w:rsidRPr="00E663E0">
          <w:rPr>
            <w:rFonts w:cstheme="minorHAnsi"/>
            <w:color w:val="403838"/>
            <w:lang w:val="en"/>
          </w:rPr>
          <w:t>μ</w:t>
        </w:r>
        <w:r w:rsidR="005220AB">
          <w:rPr>
            <w:rFonts w:cstheme="minorHAnsi"/>
            <w:color w:val="403838"/>
            <w:lang w:val="en"/>
          </w:rPr>
          <w:t>L</w:t>
        </w:r>
        <w:proofErr w:type="spellEnd"/>
        <w:r w:rsidR="005220AB" w:rsidRPr="00E663E0">
          <w:rPr>
            <w:rFonts w:cstheme="minorHAnsi"/>
            <w:color w:val="403838"/>
            <w:lang w:val="en"/>
          </w:rPr>
          <w:t xml:space="preserve"> </w:t>
        </w:r>
      </w:ins>
      <w:r w:rsidRPr="00E663E0">
        <w:rPr>
          <w:rFonts w:cstheme="minorHAnsi"/>
          <w:color w:val="403838"/>
          <w:lang w:val="en"/>
        </w:rPr>
        <w:t xml:space="preserve">of polymyxin B (final concentration, 1 </w:t>
      </w:r>
      <w:proofErr w:type="spellStart"/>
      <w:r w:rsidRPr="00E663E0">
        <w:rPr>
          <w:rFonts w:cstheme="minorHAnsi"/>
          <w:color w:val="403838"/>
          <w:lang w:val="en"/>
        </w:rPr>
        <w:t>μg</w:t>
      </w:r>
      <w:proofErr w:type="spellEnd"/>
      <w:r w:rsidRPr="00E663E0">
        <w:rPr>
          <w:rFonts w:cstheme="minorHAnsi"/>
          <w:color w:val="403838"/>
          <w:lang w:val="en"/>
        </w:rPr>
        <w:t>/</w:t>
      </w:r>
      <w:del w:id="51" w:author="Sunagawa  Shinichi" w:date="2024-09-11T11:20:00Z" w16du:dateUtc="2024-09-11T09:20:00Z">
        <w:r w:rsidRPr="00E663E0" w:rsidDel="005220AB">
          <w:rPr>
            <w:rFonts w:cstheme="minorHAnsi"/>
            <w:color w:val="403838"/>
            <w:lang w:val="en"/>
          </w:rPr>
          <w:delText>ml</w:delText>
        </w:r>
      </w:del>
      <w:ins w:id="52" w:author="Sunagawa  Shinichi" w:date="2024-09-11T11:20:00Z" w16du:dateUtc="2024-09-11T09:20:00Z">
        <w:r w:rsidR="005220AB" w:rsidRPr="00E663E0">
          <w:rPr>
            <w:rFonts w:cstheme="minorHAnsi"/>
            <w:color w:val="403838"/>
            <w:lang w:val="en"/>
          </w:rPr>
          <w:t>m</w:t>
        </w:r>
        <w:r w:rsidR="005220AB">
          <w:rPr>
            <w:rFonts w:cstheme="minorHAnsi"/>
            <w:color w:val="403838"/>
            <w:lang w:val="en"/>
          </w:rPr>
          <w:t>L</w:t>
        </w:r>
      </w:ins>
      <w:r w:rsidRPr="00E663E0">
        <w:rPr>
          <w:rFonts w:cstheme="minorHAnsi"/>
          <w:color w:val="403838"/>
          <w:lang w:val="en"/>
        </w:rPr>
        <w:t xml:space="preserve">; Sigma) or 5 </w:t>
      </w:r>
      <w:del w:id="53" w:author="Sunagawa  Shinichi" w:date="2024-09-11T11:20:00Z" w16du:dateUtc="2024-09-11T09:20:00Z">
        <w:r w:rsidRPr="00E663E0" w:rsidDel="005220AB">
          <w:rPr>
            <w:rFonts w:cstheme="minorHAnsi"/>
            <w:color w:val="403838"/>
            <w:lang w:val="en"/>
          </w:rPr>
          <w:delText xml:space="preserve">μl </w:delText>
        </w:r>
      </w:del>
      <w:proofErr w:type="spellStart"/>
      <w:ins w:id="54" w:author="Sunagawa  Shinichi" w:date="2024-09-11T11:20:00Z" w16du:dateUtc="2024-09-11T09:20:00Z">
        <w:r w:rsidR="005220AB" w:rsidRPr="00E663E0">
          <w:rPr>
            <w:rFonts w:cstheme="minorHAnsi"/>
            <w:color w:val="403838"/>
            <w:lang w:val="en"/>
          </w:rPr>
          <w:t>μ</w:t>
        </w:r>
        <w:r w:rsidR="005220AB">
          <w:rPr>
            <w:rFonts w:cstheme="minorHAnsi"/>
            <w:color w:val="403838"/>
            <w:lang w:val="en"/>
          </w:rPr>
          <w:t>L</w:t>
        </w:r>
        <w:proofErr w:type="spellEnd"/>
        <w:r w:rsidR="005220AB" w:rsidRPr="00E663E0">
          <w:rPr>
            <w:rFonts w:cstheme="minorHAnsi"/>
            <w:color w:val="403838"/>
            <w:lang w:val="en"/>
          </w:rPr>
          <w:t xml:space="preserve"> </w:t>
        </w:r>
      </w:ins>
      <w:r w:rsidRPr="00E663E0">
        <w:rPr>
          <w:rFonts w:cstheme="minorHAnsi"/>
          <w:color w:val="403838"/>
          <w:lang w:val="en"/>
        </w:rPr>
        <w:t xml:space="preserve">PBS and incubated for 1 h at 37°C under </w:t>
      </w:r>
      <w:commentRangeStart w:id="55"/>
      <w:r w:rsidRPr="00E663E0">
        <w:rPr>
          <w:rFonts w:cstheme="minorHAnsi"/>
          <w:color w:val="403838"/>
          <w:lang w:val="en"/>
        </w:rPr>
        <w:t>slight</w:t>
      </w:r>
      <w:ins w:id="56" w:author="Sunagawa  Shinichi" w:date="2024-09-11T11:21:00Z" w16du:dateUtc="2024-09-11T09:21:00Z">
        <w:r w:rsidR="005220AB">
          <w:rPr>
            <w:rFonts w:cstheme="minorHAnsi"/>
            <w:color w:val="403838"/>
            <w:lang w:val="en"/>
          </w:rPr>
          <w:t xml:space="preserve"> </w:t>
        </w:r>
      </w:ins>
      <w:ins w:id="57" w:author="Sunagawa  Shinichi" w:date="2024-09-11T11:18:00Z" w16du:dateUtc="2024-09-11T09:18:00Z">
        <w:r w:rsidR="005220AB">
          <w:rPr>
            <w:rFonts w:cstheme="minorHAnsi"/>
            <w:color w:val="403838"/>
            <w:lang w:val="en"/>
          </w:rPr>
          <w:t>(rpm)</w:t>
        </w:r>
      </w:ins>
      <w:r w:rsidRPr="00E663E0">
        <w:rPr>
          <w:rFonts w:cstheme="minorHAnsi"/>
          <w:color w:val="403838"/>
          <w:lang w:val="en"/>
        </w:rPr>
        <w:t xml:space="preserve"> </w:t>
      </w:r>
      <w:commentRangeEnd w:id="55"/>
      <w:r w:rsidR="005220AB">
        <w:rPr>
          <w:rStyle w:val="CommentReference"/>
        </w:rPr>
        <w:commentReference w:id="55"/>
      </w:r>
      <w:r w:rsidRPr="00E663E0">
        <w:rPr>
          <w:rFonts w:cstheme="minorHAnsi"/>
          <w:color w:val="403838"/>
          <w:lang w:val="en"/>
        </w:rPr>
        <w:t xml:space="preserve">agitation. After addition of 80 </w:t>
      </w:r>
      <w:proofErr w:type="spellStart"/>
      <w:r w:rsidRPr="00E663E0">
        <w:rPr>
          <w:rFonts w:cstheme="minorHAnsi"/>
          <w:color w:val="403838"/>
          <w:lang w:val="en"/>
        </w:rPr>
        <w:t>μl</w:t>
      </w:r>
      <w:proofErr w:type="spellEnd"/>
      <w:r w:rsidRPr="00E663E0">
        <w:rPr>
          <w:rFonts w:cstheme="minorHAnsi"/>
          <w:color w:val="403838"/>
          <w:lang w:val="en"/>
        </w:rPr>
        <w:t xml:space="preserve"> LB agar, bacteria were plated on LB agar plates containing streptomycin</w:t>
      </w:r>
      <w:ins w:id="58" w:author="Sunagawa  Shinichi" w:date="2024-09-11T11:18:00Z" w16du:dateUtc="2024-09-11T09:18:00Z">
        <w:r w:rsidR="005220AB">
          <w:rPr>
            <w:rFonts w:cstheme="minorHAnsi"/>
            <w:color w:val="403838"/>
            <w:lang w:val="en"/>
          </w:rPr>
          <w:t xml:space="preserve"> (concentration?)</w:t>
        </w:r>
      </w:ins>
      <w:r w:rsidRPr="00E663E0">
        <w:rPr>
          <w:rFonts w:cstheme="minorHAnsi"/>
          <w:color w:val="403838"/>
          <w:lang w:val="en"/>
        </w:rPr>
        <w:t xml:space="preserve">. The survival efficiency was calculated by dividing the number of </w:t>
      </w:r>
      <w:del w:id="59" w:author="Sunagawa  Shinichi" w:date="2024-09-11T10:56:00Z" w16du:dateUtc="2024-09-11T08:56:00Z">
        <w:r w:rsidRPr="00E663E0" w:rsidDel="00302307">
          <w:rPr>
            <w:rFonts w:cstheme="minorHAnsi"/>
            <w:color w:val="403838"/>
            <w:lang w:val="en"/>
          </w:rPr>
          <w:delText xml:space="preserve">CFU </w:delText>
        </w:r>
      </w:del>
      <w:proofErr w:type="spellStart"/>
      <w:ins w:id="60" w:author="Sunagawa  Shinichi" w:date="2024-09-11T10:56:00Z" w16du:dateUtc="2024-09-11T08:56:00Z">
        <w:r w:rsidR="00302307">
          <w:rPr>
            <w:rFonts w:cstheme="minorHAnsi"/>
            <w:color w:val="403838"/>
            <w:lang w:val="en"/>
          </w:rPr>
          <w:t>cfus</w:t>
        </w:r>
        <w:proofErr w:type="spellEnd"/>
        <w:r w:rsidR="00302307" w:rsidRPr="00E663E0">
          <w:rPr>
            <w:rFonts w:cstheme="minorHAnsi"/>
            <w:color w:val="403838"/>
            <w:lang w:val="en"/>
          </w:rPr>
          <w:t xml:space="preserve"> </w:t>
        </w:r>
      </w:ins>
      <w:r w:rsidRPr="00E663E0">
        <w:rPr>
          <w:rFonts w:cstheme="minorHAnsi"/>
          <w:color w:val="403838"/>
          <w:lang w:val="en"/>
        </w:rPr>
        <w:t xml:space="preserve">of the peptide-treated culture by the number of </w:t>
      </w:r>
      <w:proofErr w:type="spellStart"/>
      <w:ins w:id="61" w:author="Sunagawa  Shinichi" w:date="2024-09-11T10:56:00Z" w16du:dateUtc="2024-09-11T08:56:00Z">
        <w:r w:rsidR="00302307">
          <w:rPr>
            <w:rFonts w:cstheme="minorHAnsi"/>
            <w:color w:val="403838"/>
            <w:lang w:val="en"/>
          </w:rPr>
          <w:t>cfus</w:t>
        </w:r>
      </w:ins>
      <w:proofErr w:type="spellEnd"/>
      <w:del w:id="62" w:author="Sunagawa  Shinichi" w:date="2024-09-11T10:56:00Z" w16du:dateUtc="2024-09-11T08:56:00Z">
        <w:r w:rsidRPr="00E663E0" w:rsidDel="00302307">
          <w:rPr>
            <w:rFonts w:cstheme="minorHAnsi"/>
            <w:color w:val="403838"/>
            <w:lang w:val="en"/>
          </w:rPr>
          <w:delText>CFU</w:delText>
        </w:r>
      </w:del>
      <w:r w:rsidRPr="00E663E0">
        <w:rPr>
          <w:rFonts w:cstheme="minorHAnsi"/>
          <w:color w:val="403838"/>
          <w:lang w:val="en"/>
        </w:rPr>
        <w:t xml:space="preserve"> of untreated culture and multiplying by 100. The assay was performed in triplicate for two independent experiments, and data are shown as means ± standard deviations.</w:t>
      </w:r>
    </w:p>
    <w:p w14:paraId="1A91653D" w14:textId="77777777" w:rsidR="007F0E94" w:rsidRDefault="007F0E94" w:rsidP="007F0E94">
      <w:pPr>
        <w:autoSpaceDE w:val="0"/>
        <w:autoSpaceDN w:val="0"/>
        <w:adjustRightInd w:val="0"/>
        <w:spacing w:after="0" w:line="276" w:lineRule="auto"/>
        <w:jc w:val="both"/>
        <w:rPr>
          <w:rFonts w:cstheme="minorHAnsi"/>
          <w:color w:val="403838"/>
          <w:lang w:val="en"/>
        </w:rPr>
      </w:pPr>
    </w:p>
    <w:p w14:paraId="56E5972C" w14:textId="77777777" w:rsidR="007F0E94" w:rsidRDefault="007F0E94" w:rsidP="007F0E94">
      <w:pPr>
        <w:autoSpaceDE w:val="0"/>
        <w:autoSpaceDN w:val="0"/>
        <w:adjustRightInd w:val="0"/>
        <w:spacing w:after="0" w:line="276" w:lineRule="auto"/>
        <w:jc w:val="both"/>
        <w:rPr>
          <w:rFonts w:cstheme="minorHAnsi"/>
          <w:color w:val="403838"/>
          <w:lang w:val="en"/>
        </w:rPr>
      </w:pPr>
    </w:p>
    <w:p w14:paraId="40E54DCC" w14:textId="77777777" w:rsidR="007F0E94" w:rsidRPr="00014E8B" w:rsidRDefault="007F0E94" w:rsidP="00014E8B">
      <w:pPr>
        <w:autoSpaceDE w:val="0"/>
        <w:autoSpaceDN w:val="0"/>
        <w:adjustRightInd w:val="0"/>
        <w:spacing w:after="0" w:line="276" w:lineRule="auto"/>
        <w:jc w:val="both"/>
        <w:rPr>
          <w:rFonts w:cstheme="minorHAnsi"/>
          <w:b/>
          <w:lang w:val="en-US"/>
        </w:rPr>
      </w:pPr>
      <w:r w:rsidRPr="00014E8B">
        <w:rPr>
          <w:rFonts w:cstheme="minorHAnsi"/>
          <w:b/>
          <w:lang w:val="en-US"/>
        </w:rPr>
        <w:t>Results</w:t>
      </w:r>
    </w:p>
    <w:p w14:paraId="5E4A3263" w14:textId="77777777" w:rsidR="007F0E94" w:rsidRPr="00621EC7" w:rsidRDefault="007F0E94" w:rsidP="007F0E94">
      <w:pPr>
        <w:autoSpaceDE w:val="0"/>
        <w:autoSpaceDN w:val="0"/>
        <w:adjustRightInd w:val="0"/>
        <w:spacing w:after="0" w:line="276" w:lineRule="auto"/>
        <w:jc w:val="both"/>
        <w:rPr>
          <w:rFonts w:cstheme="minorHAnsi"/>
          <w:b/>
          <w:lang w:val="en-US"/>
        </w:rPr>
      </w:pPr>
      <w:r>
        <w:rPr>
          <w:rFonts w:cstheme="minorHAnsi"/>
          <w:b/>
          <w:lang w:val="en-US"/>
        </w:rPr>
        <w:t>Hydrogen c</w:t>
      </w:r>
      <w:r w:rsidRPr="00621EC7">
        <w:rPr>
          <w:rFonts w:cstheme="minorHAnsi"/>
          <w:b/>
          <w:lang w:val="en-US"/>
        </w:rPr>
        <w:t>onsumption by S. Tm</w:t>
      </w:r>
      <w:r>
        <w:rPr>
          <w:rFonts w:cstheme="minorHAnsi"/>
          <w:b/>
          <w:lang w:val="en-US"/>
        </w:rPr>
        <w:t xml:space="preserve"> is only r</w:t>
      </w:r>
      <w:r w:rsidRPr="00621EC7">
        <w:rPr>
          <w:rFonts w:cstheme="minorHAnsi"/>
          <w:b/>
          <w:lang w:val="en-US"/>
        </w:rPr>
        <w:t xml:space="preserve">equired during the Initial </w:t>
      </w:r>
      <w:r>
        <w:rPr>
          <w:rFonts w:cstheme="minorHAnsi"/>
          <w:b/>
          <w:lang w:val="en-US"/>
        </w:rPr>
        <w:t>phase of gut ecosystem i</w:t>
      </w:r>
      <w:r w:rsidRPr="00621EC7">
        <w:rPr>
          <w:rFonts w:cstheme="minorHAnsi"/>
          <w:b/>
          <w:lang w:val="en-US"/>
        </w:rPr>
        <w:t xml:space="preserve">nvasion </w:t>
      </w:r>
    </w:p>
    <w:p w14:paraId="5F7BF800" w14:textId="77777777" w:rsidR="007F0E94" w:rsidRPr="00773878" w:rsidRDefault="007F0E94" w:rsidP="007F0E94">
      <w:pPr>
        <w:autoSpaceDE w:val="0"/>
        <w:autoSpaceDN w:val="0"/>
        <w:adjustRightInd w:val="0"/>
        <w:spacing w:after="0" w:line="276" w:lineRule="auto"/>
        <w:jc w:val="both"/>
        <w:rPr>
          <w:rFonts w:cstheme="minorHAnsi"/>
          <w:sz w:val="16"/>
          <w:szCs w:val="16"/>
          <w:lang w:val="en-US"/>
        </w:rPr>
      </w:pPr>
    </w:p>
    <w:p w14:paraId="31E5F164" w14:textId="77777777" w:rsidR="007F0E94" w:rsidRPr="00621EC7" w:rsidRDefault="007F0E94" w:rsidP="007F0E94">
      <w:pPr>
        <w:autoSpaceDE w:val="0"/>
        <w:autoSpaceDN w:val="0"/>
        <w:adjustRightInd w:val="0"/>
        <w:spacing w:after="0" w:line="276" w:lineRule="auto"/>
        <w:jc w:val="both"/>
        <w:rPr>
          <w:rFonts w:cstheme="minorHAnsi"/>
          <w:lang w:val="en-US"/>
        </w:rPr>
      </w:pPr>
      <w:r w:rsidRPr="00621EC7">
        <w:rPr>
          <w:rFonts w:cstheme="minorHAnsi"/>
          <w:lang w:val="en-US"/>
        </w:rPr>
        <w:t xml:space="preserve">In order to verify the role of hydrogenases during gut infection, we constructed site-directed mutants (Figure S2B; Supplemental Experimental Procedures). In competitive infections, the </w:t>
      </w:r>
      <w:proofErr w:type="spellStart"/>
      <w:r w:rsidRPr="00460003">
        <w:rPr>
          <w:rFonts w:cstheme="minorHAnsi"/>
          <w:i/>
          <w:lang w:val="en-US"/>
        </w:rPr>
        <w:t>hyb</w:t>
      </w:r>
      <w:proofErr w:type="spellEnd"/>
      <w:r w:rsidRPr="00621EC7">
        <w:rPr>
          <w:rFonts w:cstheme="minorHAnsi"/>
          <w:lang w:val="en-US"/>
        </w:rPr>
        <w:t xml:space="preserve"> mutant (</w:t>
      </w:r>
      <w:r w:rsidRPr="00460003">
        <w:rPr>
          <w:rFonts w:cstheme="minorHAnsi"/>
          <w:i/>
          <w:lang w:val="en-US"/>
        </w:rPr>
        <w:t>S.</w:t>
      </w:r>
      <w:r w:rsidRPr="00621EC7">
        <w:rPr>
          <w:rFonts w:cstheme="minorHAnsi"/>
          <w:lang w:val="en-US"/>
        </w:rPr>
        <w:t xml:space="preserve"> </w:t>
      </w:r>
      <w:proofErr w:type="spellStart"/>
      <w:r w:rsidRPr="00621EC7">
        <w:rPr>
          <w:rFonts w:cstheme="minorHAnsi"/>
          <w:lang w:val="en-US"/>
        </w:rPr>
        <w:t>Tm</w:t>
      </w:r>
      <w:r w:rsidRPr="00460003">
        <w:rPr>
          <w:rFonts w:cstheme="minorHAnsi"/>
          <w:vertAlign w:val="superscript"/>
          <w:lang w:val="en-US"/>
        </w:rPr>
        <w:t>hyb</w:t>
      </w:r>
      <w:proofErr w:type="spellEnd"/>
      <w:r w:rsidRPr="00621EC7">
        <w:rPr>
          <w:rFonts w:cstheme="minorHAnsi"/>
          <w:lang w:val="en-US"/>
        </w:rPr>
        <w:t xml:space="preserve">; </w:t>
      </w:r>
      <w:proofErr w:type="spellStart"/>
      <w:r w:rsidRPr="00621EC7">
        <w:rPr>
          <w:rFonts w:cstheme="minorHAnsi"/>
          <w:lang w:val="en-US"/>
        </w:rPr>
        <w:t>hybBCAhypO</w:t>
      </w:r>
      <w:proofErr w:type="spellEnd"/>
      <w:r w:rsidRPr="00621EC7">
        <w:rPr>
          <w:rFonts w:cstheme="minorHAnsi"/>
          <w:lang w:val="en-US"/>
        </w:rPr>
        <w:t xml:space="preserve">, which lacks all structural genes of the </w:t>
      </w:r>
      <w:proofErr w:type="spellStart"/>
      <w:r w:rsidRPr="00621EC7">
        <w:rPr>
          <w:rFonts w:cstheme="minorHAnsi"/>
          <w:lang w:val="en-US"/>
        </w:rPr>
        <w:t>hyb</w:t>
      </w:r>
      <w:proofErr w:type="spellEnd"/>
      <w:r w:rsidRPr="00621EC7">
        <w:rPr>
          <w:rFonts w:cstheme="minorHAnsi"/>
          <w:lang w:val="en-US"/>
        </w:rPr>
        <w:t xml:space="preserve"> hydrogenase) displayed a pronounced growth defect compared to the isogenic wild-type strain (</w:t>
      </w:r>
      <w:r>
        <w:rPr>
          <w:rFonts w:cstheme="minorHAnsi"/>
          <w:lang w:val="en-US"/>
        </w:rPr>
        <w:t>~</w:t>
      </w:r>
      <w:r w:rsidRPr="00621EC7">
        <w:rPr>
          <w:rFonts w:cstheme="minorHAnsi"/>
          <w:lang w:val="en-US"/>
        </w:rPr>
        <w:t xml:space="preserve">100-fold; p &lt; 0.05; Figure 2). This was </w:t>
      </w:r>
      <w:proofErr w:type="spellStart"/>
      <w:r w:rsidRPr="00621EC7">
        <w:rPr>
          <w:rFonts w:cstheme="minorHAnsi"/>
          <w:lang w:val="en-US"/>
        </w:rPr>
        <w:t>corrobated</w:t>
      </w:r>
      <w:proofErr w:type="spellEnd"/>
      <w:r w:rsidRPr="00621EC7">
        <w:rPr>
          <w:rFonts w:cstheme="minorHAnsi"/>
          <w:lang w:val="en-US"/>
        </w:rPr>
        <w:t xml:space="preserve"> by </w:t>
      </w:r>
      <w:proofErr w:type="spellStart"/>
      <w:r w:rsidRPr="00460003">
        <w:rPr>
          <w:rFonts w:cstheme="minorHAnsi"/>
          <w:i/>
          <w:lang w:val="en-US"/>
        </w:rPr>
        <w:t>hyb</w:t>
      </w:r>
      <w:proofErr w:type="spellEnd"/>
      <w:r w:rsidRPr="00621EC7">
        <w:rPr>
          <w:rFonts w:cstheme="minorHAnsi"/>
          <w:lang w:val="en-US"/>
        </w:rPr>
        <w:t xml:space="preserve"> expression in the gut lumen (Figure S2D). Interestingly, the growth defect of </w:t>
      </w:r>
      <w:r w:rsidRPr="00460003">
        <w:rPr>
          <w:rFonts w:cstheme="minorHAnsi"/>
          <w:i/>
          <w:lang w:val="en-US"/>
        </w:rPr>
        <w:t xml:space="preserve">S. </w:t>
      </w:r>
      <w:proofErr w:type="spellStart"/>
      <w:r w:rsidRPr="00621EC7">
        <w:rPr>
          <w:rFonts w:cstheme="minorHAnsi"/>
          <w:lang w:val="en-US"/>
        </w:rPr>
        <w:t>Tm</w:t>
      </w:r>
      <w:r w:rsidRPr="00460003">
        <w:rPr>
          <w:rFonts w:cstheme="minorHAnsi"/>
          <w:vertAlign w:val="superscript"/>
          <w:lang w:val="en-US"/>
        </w:rPr>
        <w:t>hyb</w:t>
      </w:r>
      <w:proofErr w:type="spellEnd"/>
      <w:r w:rsidRPr="00621EC7">
        <w:rPr>
          <w:rFonts w:cstheme="minorHAnsi"/>
          <w:lang w:val="en-US"/>
        </w:rPr>
        <w:t xml:space="preserve"> was restricted to the first day of the experiment when pathogen loads were still low (</w:t>
      </w:r>
      <w:r>
        <w:rPr>
          <w:rFonts w:cstheme="minorHAnsi"/>
          <w:lang w:val="en-US"/>
        </w:rPr>
        <w:t xml:space="preserve">≤ </w:t>
      </w:r>
      <w:r w:rsidRPr="00621EC7">
        <w:rPr>
          <w:rFonts w:cstheme="minorHAnsi"/>
          <w:lang w:val="en-US"/>
        </w:rPr>
        <w:t>10</w:t>
      </w:r>
      <w:r w:rsidRPr="00460003">
        <w:rPr>
          <w:rFonts w:cstheme="minorHAnsi"/>
          <w:vertAlign w:val="superscript"/>
          <w:lang w:val="en-US"/>
        </w:rPr>
        <w:t>8</w:t>
      </w:r>
      <w:r w:rsidRPr="00621EC7">
        <w:rPr>
          <w:rFonts w:cstheme="minorHAnsi"/>
          <w:lang w:val="en-US"/>
        </w:rPr>
        <w:t xml:space="preserve"> </w:t>
      </w:r>
      <w:proofErr w:type="spellStart"/>
      <w:r w:rsidRPr="00621EC7">
        <w:rPr>
          <w:rFonts w:cstheme="minorHAnsi"/>
          <w:lang w:val="en-US"/>
        </w:rPr>
        <w:t>cfu</w:t>
      </w:r>
      <w:proofErr w:type="spellEnd"/>
      <w:r w:rsidRPr="00621EC7">
        <w:rPr>
          <w:rFonts w:cstheme="minorHAnsi"/>
          <w:lang w:val="en-US"/>
        </w:rPr>
        <w:t xml:space="preserve">/g stool) and no signs of mucosal inflammation were observed (Figures 2B–2D). Thereafter, the competitive index did not drop any further (Figure 2A). These data indicate that S. Tm requires </w:t>
      </w:r>
      <w:proofErr w:type="spellStart"/>
      <w:r w:rsidRPr="00460003">
        <w:rPr>
          <w:rFonts w:cstheme="minorHAnsi"/>
          <w:i/>
          <w:lang w:val="en-US"/>
        </w:rPr>
        <w:t>hyb</w:t>
      </w:r>
      <w:proofErr w:type="spellEnd"/>
      <w:r w:rsidRPr="00621EC7">
        <w:rPr>
          <w:rFonts w:cstheme="minorHAnsi"/>
          <w:lang w:val="en-US"/>
        </w:rPr>
        <w:t xml:space="preserve"> only in the initial phase of gut ecosystem invasion, but not at later stages of the infection, and that t</w:t>
      </w:r>
      <w:r>
        <w:rPr>
          <w:rFonts w:cstheme="minorHAnsi"/>
          <w:lang w:val="en-US"/>
        </w:rPr>
        <w:t xml:space="preserve">his initial stage (days 0–1) is </w:t>
      </w:r>
      <w:r w:rsidRPr="00621EC7">
        <w:rPr>
          <w:rFonts w:cstheme="minorHAnsi"/>
          <w:lang w:val="en-US"/>
        </w:rPr>
        <w:t xml:space="preserve">mechanistically distinct. </w:t>
      </w:r>
    </w:p>
    <w:p w14:paraId="5D6A578D" w14:textId="25F4A8DB" w:rsidR="007F0E94" w:rsidRDefault="007F0E94" w:rsidP="007F0E94">
      <w:pPr>
        <w:pStyle w:val="ListParagraph"/>
        <w:autoSpaceDE w:val="0"/>
        <w:autoSpaceDN w:val="0"/>
        <w:adjustRightInd w:val="0"/>
        <w:spacing w:after="0" w:line="276" w:lineRule="auto"/>
        <w:ind w:left="0"/>
        <w:jc w:val="both"/>
        <w:rPr>
          <w:rFonts w:cstheme="minorHAnsi"/>
          <w:lang w:val="en-US"/>
        </w:rPr>
      </w:pPr>
      <w:r w:rsidRPr="00621EC7">
        <w:rPr>
          <w:rFonts w:cstheme="minorHAnsi"/>
          <w:lang w:val="en-US"/>
        </w:rPr>
        <w:t xml:space="preserve">Further experiments excluded major contributions of two alternative H2-consuming hydrogenases encoded in the </w:t>
      </w:r>
      <w:r w:rsidRPr="00460003">
        <w:rPr>
          <w:rFonts w:cstheme="minorHAnsi"/>
          <w:i/>
          <w:lang w:val="en-US"/>
        </w:rPr>
        <w:t>S.</w:t>
      </w:r>
      <w:r w:rsidRPr="00621EC7">
        <w:rPr>
          <w:rFonts w:cstheme="minorHAnsi"/>
          <w:lang w:val="en-US"/>
        </w:rPr>
        <w:t xml:space="preserve"> Tm genome (Figure S2B; Supplemental Experimental Procedures). Disrupting the two alternative hydrogenases yielded no defects in gut ecosystem invasion, and the hydrogenase triple mutant (</w:t>
      </w:r>
      <w:r w:rsidRPr="00460003">
        <w:rPr>
          <w:rFonts w:cstheme="minorHAnsi"/>
          <w:i/>
          <w:lang w:val="en-US"/>
        </w:rPr>
        <w:t>S.</w:t>
      </w:r>
      <w:r w:rsidRPr="00621EC7">
        <w:rPr>
          <w:rFonts w:cstheme="minorHAnsi"/>
          <w:lang w:val="en-US"/>
        </w:rPr>
        <w:t xml:space="preserve"> Tm</w:t>
      </w:r>
      <w:r w:rsidRPr="00460003">
        <w:rPr>
          <w:rFonts w:cstheme="minorHAnsi"/>
          <w:vertAlign w:val="superscript"/>
          <w:lang w:val="en-US"/>
        </w:rPr>
        <w:t>hyd3</w:t>
      </w:r>
      <w:r w:rsidRPr="00621EC7">
        <w:rPr>
          <w:rFonts w:cstheme="minorHAnsi"/>
          <w:lang w:val="en-US"/>
        </w:rPr>
        <w:t xml:space="preserve">) displayed the same </w:t>
      </w:r>
      <w:r w:rsidRPr="00460003">
        <w:rPr>
          <w:rFonts w:cstheme="minorHAnsi"/>
          <w:i/>
          <w:lang w:val="en-US"/>
        </w:rPr>
        <w:t>in vivo</w:t>
      </w:r>
      <w:r w:rsidRPr="00621EC7">
        <w:rPr>
          <w:rFonts w:cstheme="minorHAnsi"/>
          <w:lang w:val="en-US"/>
        </w:rPr>
        <w:t xml:space="preserve"> growth defect as did </w:t>
      </w:r>
      <w:r w:rsidRPr="00460003">
        <w:rPr>
          <w:rFonts w:cstheme="minorHAnsi"/>
          <w:i/>
          <w:lang w:val="en-US"/>
        </w:rPr>
        <w:t>S.</w:t>
      </w:r>
      <w:r w:rsidRPr="00621EC7">
        <w:rPr>
          <w:rFonts w:cstheme="minorHAnsi"/>
          <w:lang w:val="en-US"/>
        </w:rPr>
        <w:t xml:space="preserve"> </w:t>
      </w:r>
      <w:proofErr w:type="spellStart"/>
      <w:r w:rsidRPr="00621EC7">
        <w:rPr>
          <w:rFonts w:cstheme="minorHAnsi"/>
          <w:lang w:val="en-US"/>
        </w:rPr>
        <w:t>Tm</w:t>
      </w:r>
      <w:r w:rsidRPr="00460003">
        <w:rPr>
          <w:rFonts w:cstheme="minorHAnsi"/>
          <w:vertAlign w:val="superscript"/>
          <w:lang w:val="en-US"/>
        </w:rPr>
        <w:t>hyb</w:t>
      </w:r>
      <w:proofErr w:type="spellEnd"/>
      <w:r w:rsidRPr="00621EC7">
        <w:rPr>
          <w:rFonts w:cstheme="minorHAnsi"/>
          <w:lang w:val="en-US"/>
        </w:rPr>
        <w:t xml:space="preserve"> (Figures S3A and S3B). Thus, while </w:t>
      </w:r>
      <w:proofErr w:type="spellStart"/>
      <w:r w:rsidRPr="00460003">
        <w:rPr>
          <w:rFonts w:cstheme="minorHAnsi"/>
          <w:i/>
          <w:lang w:val="en-US"/>
        </w:rPr>
        <w:t>hyb</w:t>
      </w:r>
      <w:proofErr w:type="spellEnd"/>
      <w:r w:rsidRPr="00621EC7">
        <w:rPr>
          <w:rFonts w:cstheme="minorHAnsi"/>
          <w:lang w:val="en-US"/>
        </w:rPr>
        <w:t xml:space="preserve"> is necessary for robust pathogen growth in the host’s intestine, the other two hydrogenases contribute little. This was further supported by complementation (Figure S3B). Furthermore, the gut ecosystem invasion defect of the hydrogenase mutant was independent</w:t>
      </w:r>
      <w:r>
        <w:rPr>
          <w:rFonts w:cstheme="minorHAnsi"/>
          <w:lang w:val="en-US"/>
        </w:rPr>
        <w:t xml:space="preserve"> </w:t>
      </w:r>
      <w:r w:rsidRPr="00621EC7">
        <w:rPr>
          <w:rFonts w:cstheme="minorHAnsi"/>
          <w:lang w:val="en-US"/>
        </w:rPr>
        <w:t>of the inoculum size and also observed upon gavage of 5</w:t>
      </w:r>
      <w:r>
        <w:rPr>
          <w:rFonts w:cstheme="minorHAnsi"/>
          <w:lang w:val="en-US"/>
        </w:rPr>
        <w:t xml:space="preserve"> x</w:t>
      </w:r>
      <w:r w:rsidRPr="00621EC7">
        <w:rPr>
          <w:rFonts w:cstheme="minorHAnsi"/>
          <w:lang w:val="en-US"/>
        </w:rPr>
        <w:t xml:space="preserve"> 10</w:t>
      </w:r>
      <w:r w:rsidRPr="00460003">
        <w:rPr>
          <w:rFonts w:cstheme="minorHAnsi"/>
          <w:vertAlign w:val="superscript"/>
          <w:lang w:val="en-US"/>
        </w:rPr>
        <w:t>3</w:t>
      </w:r>
      <w:r w:rsidRPr="00621EC7">
        <w:rPr>
          <w:rFonts w:cstheme="minorHAnsi"/>
          <w:lang w:val="en-US"/>
        </w:rPr>
        <w:t xml:space="preserve"> </w:t>
      </w:r>
      <w:proofErr w:type="spellStart"/>
      <w:r w:rsidRPr="00621EC7">
        <w:rPr>
          <w:rFonts w:cstheme="minorHAnsi"/>
          <w:lang w:val="en-US"/>
        </w:rPr>
        <w:t>cfu</w:t>
      </w:r>
      <w:proofErr w:type="spellEnd"/>
      <w:r w:rsidRPr="00621EC7">
        <w:rPr>
          <w:rFonts w:cstheme="minorHAnsi"/>
          <w:lang w:val="en-US"/>
        </w:rPr>
        <w:t xml:space="preserve"> (data not shown; standard inoculum size = 5 </w:t>
      </w:r>
      <w:r>
        <w:rPr>
          <w:rFonts w:cstheme="minorHAnsi"/>
          <w:lang w:val="en-US"/>
        </w:rPr>
        <w:t>x</w:t>
      </w:r>
      <w:r w:rsidRPr="00621EC7">
        <w:rPr>
          <w:rFonts w:cstheme="minorHAnsi"/>
          <w:lang w:val="en-US"/>
        </w:rPr>
        <w:t xml:space="preserve"> 10</w:t>
      </w:r>
      <w:r w:rsidRPr="00460003">
        <w:rPr>
          <w:rFonts w:cstheme="minorHAnsi"/>
          <w:vertAlign w:val="superscript"/>
          <w:lang w:val="en-US"/>
        </w:rPr>
        <w:t>7</w:t>
      </w:r>
      <w:r w:rsidRPr="00621EC7">
        <w:rPr>
          <w:rFonts w:cstheme="minorHAnsi"/>
          <w:lang w:val="en-US"/>
        </w:rPr>
        <w:t xml:space="preserve"> </w:t>
      </w:r>
      <w:proofErr w:type="spellStart"/>
      <w:r w:rsidRPr="00621EC7">
        <w:rPr>
          <w:rFonts w:cstheme="minorHAnsi"/>
          <w:lang w:val="en-US"/>
        </w:rPr>
        <w:t>cfu</w:t>
      </w:r>
      <w:proofErr w:type="spellEnd"/>
      <w:r w:rsidRPr="00621EC7">
        <w:rPr>
          <w:rFonts w:cstheme="minorHAnsi"/>
          <w:lang w:val="en-US"/>
        </w:rPr>
        <w:t>; Experimental Procedures). Finally, in vitro experiments in anaerobic broth culture verified that the growth defect of</w:t>
      </w:r>
      <w:r w:rsidRPr="00460003">
        <w:rPr>
          <w:rFonts w:cstheme="minorHAnsi"/>
          <w:i/>
          <w:lang w:val="en-US"/>
        </w:rPr>
        <w:t xml:space="preserve"> S</w:t>
      </w:r>
      <w:r w:rsidRPr="00621EC7">
        <w:rPr>
          <w:rFonts w:cstheme="minorHAnsi"/>
          <w:lang w:val="en-US"/>
        </w:rPr>
        <w:t>. Tm</w:t>
      </w:r>
      <w:r w:rsidRPr="00460003">
        <w:rPr>
          <w:rFonts w:cstheme="minorHAnsi"/>
          <w:vertAlign w:val="superscript"/>
          <w:lang w:val="en-US"/>
        </w:rPr>
        <w:t>hyd3</w:t>
      </w:r>
      <w:r w:rsidRPr="00621EC7">
        <w:rPr>
          <w:rFonts w:cstheme="minorHAnsi"/>
          <w:lang w:val="en-US"/>
        </w:rPr>
        <w:t xml:space="preserve"> was only observed in the presence of H2</w:t>
      </w:r>
      <w:commentRangeStart w:id="63"/>
      <w:r w:rsidRPr="00621EC7">
        <w:rPr>
          <w:rFonts w:cstheme="minorHAnsi"/>
          <w:lang w:val="en-US"/>
        </w:rPr>
        <w:t xml:space="preserve">, but not in its absence </w:t>
      </w:r>
      <w:commentRangeEnd w:id="63"/>
      <w:r w:rsidR="00D5767D">
        <w:rPr>
          <w:rStyle w:val="CommentReference"/>
        </w:rPr>
        <w:commentReference w:id="63"/>
      </w:r>
      <w:r w:rsidRPr="00621EC7">
        <w:rPr>
          <w:rFonts w:cstheme="minorHAnsi"/>
          <w:lang w:val="en-US"/>
        </w:rPr>
        <w:t xml:space="preserve">(Figures S4A and S4B). In conclusion, these data confirmed the pivotal importance of </w:t>
      </w:r>
      <w:proofErr w:type="spellStart"/>
      <w:r w:rsidRPr="00460003">
        <w:rPr>
          <w:rFonts w:cstheme="minorHAnsi"/>
          <w:i/>
          <w:lang w:val="en-US"/>
        </w:rPr>
        <w:t>hyb</w:t>
      </w:r>
      <w:proofErr w:type="spellEnd"/>
      <w:r w:rsidRPr="00621EC7">
        <w:rPr>
          <w:rFonts w:cstheme="minorHAnsi"/>
          <w:lang w:val="en-US"/>
        </w:rPr>
        <w:t xml:space="preserve"> for</w:t>
      </w:r>
      <w:r>
        <w:rPr>
          <w:rFonts w:cstheme="minorHAnsi"/>
          <w:lang w:val="en-US"/>
        </w:rPr>
        <w:t xml:space="preserve"> </w:t>
      </w:r>
      <w:r w:rsidRPr="00621EC7">
        <w:rPr>
          <w:rFonts w:cstheme="minorHAnsi"/>
          <w:lang w:val="en-US"/>
        </w:rPr>
        <w:t xml:space="preserve">H2-dependent </w:t>
      </w:r>
      <w:r w:rsidRPr="00460003">
        <w:rPr>
          <w:rFonts w:cstheme="minorHAnsi"/>
          <w:i/>
          <w:lang w:val="en-US"/>
        </w:rPr>
        <w:t>S.</w:t>
      </w:r>
      <w:r w:rsidRPr="00621EC7">
        <w:rPr>
          <w:rFonts w:cstheme="minorHAnsi"/>
          <w:lang w:val="en-US"/>
        </w:rPr>
        <w:t xml:space="preserve"> Tm growth. Our initial data suggested that the </w:t>
      </w:r>
      <w:proofErr w:type="spellStart"/>
      <w:r w:rsidRPr="00460003">
        <w:rPr>
          <w:rFonts w:cstheme="minorHAnsi"/>
          <w:i/>
          <w:lang w:val="en-US"/>
        </w:rPr>
        <w:t>hyb</w:t>
      </w:r>
      <w:proofErr w:type="spellEnd"/>
      <w:r w:rsidRPr="00621EC7">
        <w:rPr>
          <w:rFonts w:cstheme="minorHAnsi"/>
          <w:lang w:val="en-US"/>
        </w:rPr>
        <w:t xml:space="preserve"> hydrogenase may fuel pathogen growth during gut ecosystem invasion, i.e., the first 24 </w:t>
      </w:r>
      <w:proofErr w:type="spellStart"/>
      <w:r w:rsidRPr="00621EC7">
        <w:rPr>
          <w:rFonts w:cstheme="minorHAnsi"/>
          <w:lang w:val="en-US"/>
        </w:rPr>
        <w:t>hr</w:t>
      </w:r>
      <w:proofErr w:type="spellEnd"/>
      <w:r w:rsidRPr="00621EC7">
        <w:rPr>
          <w:rFonts w:cstheme="minorHAnsi"/>
          <w:lang w:val="en-US"/>
        </w:rPr>
        <w:t xml:space="preserve"> </w:t>
      </w:r>
      <w:proofErr w:type="spellStart"/>
      <w:r w:rsidRPr="00621EC7">
        <w:rPr>
          <w:rFonts w:cstheme="minorHAnsi"/>
          <w:lang w:val="en-US"/>
        </w:rPr>
        <w:t>p.i.</w:t>
      </w:r>
      <w:proofErr w:type="spellEnd"/>
      <w:r w:rsidRPr="00621EC7">
        <w:rPr>
          <w:rFonts w:cstheme="minorHAnsi"/>
          <w:lang w:val="en-US"/>
        </w:rPr>
        <w:t xml:space="preserve"> (Figure 2A). At this stage the pathogen grows in the face of the resident microbiota (which presumably still produces H2) and overt inflammation is not yet triggered (Figures S1A and 2B–2D). To further substantiate the need for hydrogenases in the noninflamed gut, we performed competition experiments in the avirulent strain background. The </w:t>
      </w:r>
      <w:r w:rsidRPr="00621EC7">
        <w:rPr>
          <w:rFonts w:cstheme="minorHAnsi"/>
          <w:lang w:val="en-US"/>
        </w:rPr>
        <w:lastRenderedPageBreak/>
        <w:t xml:space="preserve">isogenic </w:t>
      </w:r>
      <w:r w:rsidRPr="00460003">
        <w:rPr>
          <w:rFonts w:cstheme="minorHAnsi"/>
          <w:i/>
          <w:lang w:val="en-US"/>
        </w:rPr>
        <w:t>S.</w:t>
      </w:r>
      <w:r w:rsidRPr="00621EC7">
        <w:rPr>
          <w:rFonts w:cstheme="minorHAnsi"/>
          <w:lang w:val="en-US"/>
        </w:rPr>
        <w:t xml:space="preserve"> Tm mutant (</w:t>
      </w:r>
      <w:r w:rsidRPr="00460003">
        <w:rPr>
          <w:rFonts w:cstheme="minorHAnsi"/>
          <w:i/>
          <w:lang w:val="en-US"/>
        </w:rPr>
        <w:t>S.</w:t>
      </w:r>
      <w:r w:rsidRPr="00621EC7">
        <w:rPr>
          <w:rFonts w:cstheme="minorHAnsi"/>
          <w:lang w:val="en-US"/>
        </w:rPr>
        <w:t xml:space="preserve"> </w:t>
      </w:r>
      <w:proofErr w:type="spellStart"/>
      <w:r w:rsidRPr="00621EC7">
        <w:rPr>
          <w:rFonts w:cstheme="minorHAnsi"/>
          <w:lang w:val="en-US"/>
        </w:rPr>
        <w:t>Tm</w:t>
      </w:r>
      <w:r w:rsidRPr="00460003">
        <w:rPr>
          <w:rFonts w:cstheme="minorHAnsi"/>
          <w:vertAlign w:val="superscript"/>
          <w:lang w:val="en-US"/>
        </w:rPr>
        <w:t>avir</w:t>
      </w:r>
      <w:proofErr w:type="spellEnd"/>
      <w:r w:rsidRPr="00621EC7">
        <w:rPr>
          <w:rFonts w:cstheme="minorHAnsi"/>
          <w:lang w:val="en-US"/>
        </w:rPr>
        <w:t xml:space="preserve">; </w:t>
      </w:r>
      <w:proofErr w:type="spellStart"/>
      <w:r w:rsidRPr="00621EC7">
        <w:rPr>
          <w:rFonts w:cstheme="minorHAnsi"/>
          <w:lang w:val="en-US"/>
        </w:rPr>
        <w:t>DinvGDsseD</w:t>
      </w:r>
      <w:proofErr w:type="spellEnd"/>
      <w:r w:rsidRPr="00621EC7">
        <w:rPr>
          <w:rFonts w:cstheme="minorHAnsi"/>
          <w:lang w:val="en-US"/>
        </w:rPr>
        <w:t>; Supplemental Experimental Procedures) colonizes the gut but remains ‘‘locked’’ in gut ecosystem invasion phase of the infection, as it lacks two key virulence factors and therefore cannot elicit overt mucosal inflammation (</w:t>
      </w:r>
      <w:proofErr w:type="spellStart"/>
      <w:r w:rsidRPr="00621EC7">
        <w:rPr>
          <w:rFonts w:cstheme="minorHAnsi"/>
          <w:lang w:val="en-US"/>
        </w:rPr>
        <w:t>Hapfelmeier</w:t>
      </w:r>
      <w:proofErr w:type="spellEnd"/>
      <w:r w:rsidRPr="00621EC7">
        <w:rPr>
          <w:rFonts w:cstheme="minorHAnsi"/>
          <w:lang w:val="en-US"/>
        </w:rPr>
        <w:t xml:space="preserve"> et al., 2005; </w:t>
      </w:r>
      <w:proofErr w:type="spellStart"/>
      <w:r w:rsidRPr="00621EC7">
        <w:rPr>
          <w:rFonts w:cstheme="minorHAnsi"/>
          <w:lang w:val="en-US"/>
        </w:rPr>
        <w:t>Stecher</w:t>
      </w:r>
      <w:proofErr w:type="spellEnd"/>
      <w:r w:rsidRPr="00621EC7">
        <w:rPr>
          <w:rFonts w:cstheme="minorHAnsi"/>
          <w:lang w:val="en-US"/>
        </w:rPr>
        <w:t xml:space="preserve"> et al., 2007). To this end, we constructed a hydrogenase-deficient mutant in the </w:t>
      </w:r>
      <w:r w:rsidRPr="00460003">
        <w:rPr>
          <w:rFonts w:cstheme="minorHAnsi"/>
          <w:i/>
          <w:lang w:val="en-US"/>
        </w:rPr>
        <w:t>S.</w:t>
      </w:r>
      <w:r w:rsidRPr="00621EC7">
        <w:rPr>
          <w:rFonts w:cstheme="minorHAnsi"/>
          <w:lang w:val="en-US"/>
        </w:rPr>
        <w:t xml:space="preserve"> </w:t>
      </w:r>
      <w:proofErr w:type="spellStart"/>
      <w:r w:rsidRPr="00621EC7">
        <w:rPr>
          <w:rFonts w:cstheme="minorHAnsi"/>
          <w:lang w:val="en-US"/>
        </w:rPr>
        <w:t>Tm</w:t>
      </w:r>
      <w:r w:rsidRPr="00460003">
        <w:rPr>
          <w:rFonts w:cstheme="minorHAnsi"/>
          <w:vertAlign w:val="superscript"/>
          <w:lang w:val="en-US"/>
        </w:rPr>
        <w:t>avir</w:t>
      </w:r>
      <w:proofErr w:type="spellEnd"/>
      <w:r w:rsidRPr="00460003">
        <w:rPr>
          <w:rFonts w:cstheme="minorHAnsi"/>
          <w:vertAlign w:val="superscript"/>
          <w:lang w:val="en-US"/>
        </w:rPr>
        <w:t xml:space="preserve"> </w:t>
      </w:r>
      <w:r w:rsidRPr="00621EC7">
        <w:rPr>
          <w:rFonts w:cstheme="minorHAnsi"/>
          <w:lang w:val="en-US"/>
        </w:rPr>
        <w:t>background (</w:t>
      </w:r>
      <w:r w:rsidRPr="00460003">
        <w:rPr>
          <w:rFonts w:cstheme="minorHAnsi"/>
          <w:i/>
          <w:lang w:val="en-US"/>
        </w:rPr>
        <w:t>S.</w:t>
      </w:r>
      <w:r w:rsidRPr="00621EC7">
        <w:rPr>
          <w:rFonts w:cstheme="minorHAnsi"/>
          <w:lang w:val="en-US"/>
        </w:rPr>
        <w:t xml:space="preserve"> </w:t>
      </w:r>
      <w:proofErr w:type="spellStart"/>
      <w:r w:rsidRPr="00621EC7">
        <w:rPr>
          <w:rFonts w:cstheme="minorHAnsi"/>
          <w:lang w:val="en-US"/>
        </w:rPr>
        <w:t>Tm</w:t>
      </w:r>
      <w:r w:rsidRPr="00460003">
        <w:rPr>
          <w:rFonts w:cstheme="minorHAnsi"/>
          <w:vertAlign w:val="superscript"/>
          <w:lang w:val="en-US"/>
        </w:rPr>
        <w:t>avir</w:t>
      </w:r>
      <w:proofErr w:type="spellEnd"/>
      <w:r w:rsidRPr="00621EC7">
        <w:rPr>
          <w:rFonts w:cstheme="minorHAnsi"/>
          <w:lang w:val="en-US"/>
        </w:rPr>
        <w:t xml:space="preserve"> </w:t>
      </w:r>
      <w:r w:rsidRPr="00460003">
        <w:rPr>
          <w:rFonts w:cstheme="minorHAnsi"/>
          <w:vertAlign w:val="superscript"/>
          <w:lang w:val="en-US"/>
        </w:rPr>
        <w:t>hyd3</w:t>
      </w:r>
      <w:r w:rsidRPr="00621EC7">
        <w:rPr>
          <w:rFonts w:cstheme="minorHAnsi"/>
          <w:lang w:val="en-US"/>
        </w:rPr>
        <w:t xml:space="preserve">). First, we tested this strain’s capacity to grow up in the gut of LCM mice. In competitive infections, </w:t>
      </w:r>
      <w:r w:rsidRPr="00460003">
        <w:rPr>
          <w:rFonts w:cstheme="minorHAnsi"/>
          <w:i/>
          <w:lang w:val="en-US"/>
        </w:rPr>
        <w:t>S.</w:t>
      </w:r>
      <w:r w:rsidRPr="00621EC7">
        <w:rPr>
          <w:rFonts w:cstheme="minorHAnsi"/>
          <w:lang w:val="en-US"/>
        </w:rPr>
        <w:t xml:space="preserve"> </w:t>
      </w:r>
      <w:proofErr w:type="spellStart"/>
      <w:r w:rsidRPr="00621EC7">
        <w:rPr>
          <w:rFonts w:cstheme="minorHAnsi"/>
          <w:lang w:val="en-US"/>
        </w:rPr>
        <w:t>Tm</w:t>
      </w:r>
      <w:r w:rsidRPr="00460003">
        <w:rPr>
          <w:rFonts w:cstheme="minorHAnsi"/>
          <w:vertAlign w:val="superscript"/>
          <w:lang w:val="en-US"/>
        </w:rPr>
        <w:t>avir</w:t>
      </w:r>
      <w:proofErr w:type="spellEnd"/>
      <w:r w:rsidRPr="00621EC7">
        <w:rPr>
          <w:rFonts w:cstheme="minorHAnsi"/>
          <w:lang w:val="en-US"/>
        </w:rPr>
        <w:t xml:space="preserve"> </w:t>
      </w:r>
      <w:r w:rsidRPr="00460003">
        <w:rPr>
          <w:rFonts w:cstheme="minorHAnsi"/>
          <w:vertAlign w:val="superscript"/>
          <w:lang w:val="en-US"/>
        </w:rPr>
        <w:t>hyd3</w:t>
      </w:r>
      <w:r w:rsidRPr="00621EC7">
        <w:rPr>
          <w:rFonts w:cstheme="minorHAnsi"/>
          <w:lang w:val="en-US"/>
        </w:rPr>
        <w:t xml:space="preserve"> displayed a pronounced colonization defect on day 1 </w:t>
      </w:r>
      <w:proofErr w:type="spellStart"/>
      <w:r w:rsidRPr="00621EC7">
        <w:rPr>
          <w:rFonts w:cstheme="minorHAnsi"/>
          <w:lang w:val="en-US"/>
        </w:rPr>
        <w:t>p.i.</w:t>
      </w:r>
      <w:proofErr w:type="spellEnd"/>
      <w:r w:rsidRPr="00621EC7">
        <w:rPr>
          <w:rFonts w:cstheme="minorHAnsi"/>
          <w:lang w:val="en-US"/>
        </w:rPr>
        <w:t xml:space="preserve"> but no further decrease from day 1 to day 4 </w:t>
      </w:r>
      <w:proofErr w:type="spellStart"/>
      <w:r w:rsidRPr="00621EC7">
        <w:rPr>
          <w:rFonts w:cstheme="minorHAnsi"/>
          <w:lang w:val="en-US"/>
        </w:rPr>
        <w:t>p.i.</w:t>
      </w:r>
      <w:proofErr w:type="spellEnd"/>
      <w:r w:rsidRPr="00621EC7">
        <w:rPr>
          <w:rFonts w:cstheme="minorHAnsi"/>
          <w:lang w:val="en-US"/>
        </w:rPr>
        <w:t xml:space="preserve"> (Figure 3). These results were strikingly similar to those obtained in the wild-type </w:t>
      </w:r>
      <w:r w:rsidRPr="00460003">
        <w:rPr>
          <w:rFonts w:cstheme="minorHAnsi"/>
          <w:i/>
          <w:lang w:val="en-US"/>
        </w:rPr>
        <w:t>S.</w:t>
      </w:r>
      <w:r w:rsidRPr="00621EC7">
        <w:rPr>
          <w:rFonts w:cstheme="minorHAnsi"/>
          <w:lang w:val="en-US"/>
        </w:rPr>
        <w:t xml:space="preserve"> Tm strain background (compare Figure 2A and Figure 3A) and verified that hydrogenases are indeed only required during gut ecosystem invasion, whether inflammation is triggered or not. Accordingly, intravenous infection experiments confirmed that hydrogenases are not needed for growth at systemic sites (Figure S3C). This further supported the notion that gut ecosystem invasion is a distinct step in host intestinal colonization, which prepares the ground for subsequent stages of the infection.</w:t>
      </w:r>
    </w:p>
    <w:p w14:paraId="35FEB319" w14:textId="77777777" w:rsidR="00014E8B" w:rsidRDefault="00014E8B" w:rsidP="007F0E94">
      <w:pPr>
        <w:pStyle w:val="ListParagraph"/>
        <w:autoSpaceDE w:val="0"/>
        <w:autoSpaceDN w:val="0"/>
        <w:adjustRightInd w:val="0"/>
        <w:spacing w:after="0" w:line="276" w:lineRule="auto"/>
        <w:ind w:left="0"/>
        <w:jc w:val="both"/>
        <w:rPr>
          <w:rFonts w:cstheme="minorHAnsi"/>
          <w:lang w:val="en-US"/>
        </w:rPr>
      </w:pPr>
    </w:p>
    <w:p w14:paraId="53ADAE56" w14:textId="77777777" w:rsidR="007F0E94" w:rsidRPr="00014E8B" w:rsidRDefault="007F0E94" w:rsidP="00014E8B">
      <w:pPr>
        <w:autoSpaceDE w:val="0"/>
        <w:autoSpaceDN w:val="0"/>
        <w:adjustRightInd w:val="0"/>
        <w:spacing w:after="0" w:line="276" w:lineRule="auto"/>
        <w:jc w:val="both"/>
        <w:rPr>
          <w:rFonts w:cstheme="minorHAnsi"/>
          <w:b/>
          <w:lang w:val="en-US"/>
        </w:rPr>
      </w:pPr>
      <w:r w:rsidRPr="00014E8B">
        <w:rPr>
          <w:rFonts w:cstheme="minorHAnsi"/>
          <w:b/>
          <w:lang w:val="en-US"/>
        </w:rPr>
        <w:t>Discussion</w:t>
      </w:r>
    </w:p>
    <w:p w14:paraId="165FC8E6" w14:textId="77777777" w:rsidR="007F0E94" w:rsidRPr="007169D9" w:rsidRDefault="007F0E94" w:rsidP="007F0E94">
      <w:pPr>
        <w:autoSpaceDE w:val="0"/>
        <w:autoSpaceDN w:val="0"/>
        <w:adjustRightInd w:val="0"/>
        <w:spacing w:after="0" w:line="276" w:lineRule="auto"/>
        <w:jc w:val="both"/>
        <w:rPr>
          <w:rFonts w:cstheme="minorHAnsi"/>
          <w:lang w:val="en-US"/>
        </w:rPr>
      </w:pPr>
      <w:r w:rsidRPr="007169D9">
        <w:rPr>
          <w:rFonts w:cstheme="minorHAnsi"/>
          <w:lang w:val="en-US"/>
        </w:rPr>
        <w:t>Our findings establish gut ecosystem invasion as a critical step of</w:t>
      </w:r>
      <w:r>
        <w:rPr>
          <w:rFonts w:cstheme="minorHAnsi"/>
          <w:lang w:val="en-US"/>
        </w:rPr>
        <w:t xml:space="preserve"> </w:t>
      </w:r>
      <w:r w:rsidRPr="007169D9">
        <w:rPr>
          <w:rFonts w:cstheme="minorHAnsi"/>
          <w:lang w:val="en-US"/>
        </w:rPr>
        <w:t xml:space="preserve">the orogastric </w:t>
      </w:r>
      <w:r w:rsidRPr="007169D9">
        <w:rPr>
          <w:rFonts w:cstheme="minorHAnsi"/>
          <w:i/>
          <w:lang w:val="en-US"/>
        </w:rPr>
        <w:t>S.</w:t>
      </w:r>
      <w:r w:rsidRPr="007169D9">
        <w:rPr>
          <w:rFonts w:cstheme="minorHAnsi"/>
          <w:lang w:val="en-US"/>
        </w:rPr>
        <w:t xml:space="preserve"> Tm infection. During this initial phase of the infection, pathogen growth in the gut relies at least in part on metabolites provided by the microbiota. This differs markedly from the interactions observed later (i.e., during expansion/maintenance), when the host’s mucosal immune response fuels pathogen growth and suppresses the microbiota (Kaiser et al., 2012; Winter et al., 2013). Thus, colonization of the host’s gut comprises different phases featuring distinct sets of positive and negative interactions. The interactions between the pathogen, the microbiota, and the host are clearly more complex than previously anticipated.</w:t>
      </w:r>
    </w:p>
    <w:p w14:paraId="73AACD55" w14:textId="5666552D" w:rsidR="007F0E94" w:rsidRDefault="007F0E94" w:rsidP="007F0E94">
      <w:pPr>
        <w:autoSpaceDE w:val="0"/>
        <w:autoSpaceDN w:val="0"/>
        <w:adjustRightInd w:val="0"/>
        <w:spacing w:after="0" w:line="276" w:lineRule="auto"/>
        <w:jc w:val="both"/>
        <w:rPr>
          <w:rFonts w:cstheme="minorHAnsi"/>
          <w:lang w:val="en-US"/>
        </w:rPr>
      </w:pPr>
      <w:del w:id="64" w:author="Sunagawa  Shinichi" w:date="2024-09-11T11:24:00Z" w16du:dateUtc="2024-09-11T09:24:00Z">
        <w:r w:rsidRPr="007169D9" w:rsidDel="0062179C">
          <w:rPr>
            <w:rFonts w:cstheme="minorHAnsi"/>
            <w:lang w:val="en-US"/>
          </w:rPr>
          <w:delText>Gut ecosystem invasion by S. Tm relies on H2. This is true for mice harboring two different microbiotas of reduced complexity (LCM mice used th</w:delText>
        </w:r>
        <w:r w:rsidDel="0062179C">
          <w:rPr>
            <w:rFonts w:cstheme="minorHAnsi"/>
            <w:lang w:val="en-US"/>
          </w:rPr>
          <w:delText>r</w:delText>
        </w:r>
        <w:r w:rsidRPr="007169D9" w:rsidDel="0062179C">
          <w:rPr>
            <w:rFonts w:cstheme="minorHAnsi"/>
            <w:lang w:val="en-US"/>
          </w:rPr>
          <w:delText>oughout most of this study; VLCM mice used in Figures S4C and S4D) or animals with a normal SPF microbiota, alike (Figures 4D–4F and 5B).</w:delText>
        </w:r>
      </w:del>
      <w:ins w:id="65" w:author="Sunagawa  Shinichi" w:date="2024-09-11T11:24:00Z" w16du:dateUtc="2024-09-11T09:24:00Z">
        <w:r w:rsidR="0062179C">
          <w:rPr>
            <w:rFonts w:cstheme="minorHAnsi"/>
            <w:lang w:val="en-US"/>
          </w:rPr>
          <w:t xml:space="preserve">Our finding that </w:t>
        </w:r>
      </w:ins>
      <w:proofErr w:type="spellStart"/>
      <w:ins w:id="66" w:author="Sunagawa  Shinichi" w:date="2024-09-11T11:25:00Z" w16du:dateUtc="2024-09-11T09:25:00Z">
        <w:r w:rsidR="0062179C">
          <w:rPr>
            <w:rFonts w:cstheme="minorHAnsi"/>
            <w:lang w:val="en-US"/>
          </w:rPr>
          <w:t>S.Tm</w:t>
        </w:r>
        <w:proofErr w:type="spellEnd"/>
        <w:r w:rsidR="0062179C">
          <w:rPr>
            <w:rFonts w:cstheme="minorHAnsi"/>
            <w:lang w:val="en-US"/>
          </w:rPr>
          <w:t xml:space="preserve"> relies on H2, as demonstrated here in two mouse models, [</w:t>
        </w:r>
      </w:ins>
      <w:ins w:id="67" w:author="Sunagawa  Shinichi" w:date="2024-09-11T11:26:00Z" w16du:dateUtc="2024-09-11T09:26:00Z">
        <w:r w:rsidR="0062179C">
          <w:rPr>
            <w:rFonts w:cstheme="minorHAnsi"/>
            <w:lang w:val="en-US"/>
          </w:rPr>
          <w:t>…</w:t>
        </w:r>
      </w:ins>
      <w:ins w:id="68" w:author="Sunagawa  Shinichi" w:date="2024-09-11T11:35:00Z" w16du:dateUtc="2024-09-11T09:35:00Z">
        <w:r w:rsidR="0062179C">
          <w:rPr>
            <w:rFonts w:cstheme="minorHAnsi"/>
            <w:lang w:val="en-US"/>
          </w:rPr>
          <w:tab/>
        </w:r>
      </w:ins>
      <w:ins w:id="69" w:author="Sunagawa  Shinichi" w:date="2024-09-11T11:26:00Z" w16du:dateUtc="2024-09-11T09:26:00Z">
        <w:r w:rsidR="0062179C">
          <w:rPr>
            <w:rFonts w:cstheme="minorHAnsi"/>
            <w:lang w:val="en-US"/>
          </w:rPr>
          <w:t>]</w:t>
        </w:r>
      </w:ins>
      <w:r w:rsidRPr="007169D9">
        <w:rPr>
          <w:rFonts w:cstheme="minorHAnsi"/>
          <w:lang w:val="en-US"/>
        </w:rPr>
        <w:t xml:space="preserve"> In contrast, intravenous infections did not yield any evidence for H2-dependent pathogen growth at systemic sites (Figure S3C). At first sight, this seems to be in conflict with earlier work in the oral infection model for typhoid fever (Maier et al., 2004). Upon oral infecti</w:t>
      </w:r>
      <w:r>
        <w:rPr>
          <w:rFonts w:cstheme="minorHAnsi"/>
          <w:lang w:val="en-US"/>
        </w:rPr>
        <w:t xml:space="preserve">on, hydrogenase </w:t>
      </w:r>
      <w:r w:rsidRPr="007169D9">
        <w:rPr>
          <w:rFonts w:cstheme="minorHAnsi"/>
          <w:lang w:val="en-US"/>
        </w:rPr>
        <w:t xml:space="preserve">mutants of </w:t>
      </w:r>
      <w:r w:rsidRPr="007169D9">
        <w:rPr>
          <w:rFonts w:cstheme="minorHAnsi"/>
          <w:i/>
          <w:lang w:val="en-US"/>
        </w:rPr>
        <w:t>S.</w:t>
      </w:r>
      <w:r w:rsidRPr="007169D9">
        <w:rPr>
          <w:rFonts w:cstheme="minorHAnsi"/>
          <w:lang w:val="en-US"/>
        </w:rPr>
        <w:t xml:space="preserve"> Typhimurium ATCC14028 failed to colonize the livers and spleens. Our data may suggest that this attenuation was attributable at least in part to defective growth in the gut, before the bacteria had actually disseminated to systemic sites. This hypothesis would be in line with hydrogenase expression of ATCC14028 in the murine ileum (</w:t>
      </w:r>
      <w:proofErr w:type="spellStart"/>
      <w:r w:rsidRPr="007169D9">
        <w:rPr>
          <w:rFonts w:cstheme="minorHAnsi"/>
          <w:lang w:val="en-US"/>
        </w:rPr>
        <w:t>Zbell</w:t>
      </w:r>
      <w:proofErr w:type="spellEnd"/>
      <w:r w:rsidRPr="007169D9">
        <w:rPr>
          <w:rFonts w:cstheme="minorHAnsi"/>
          <w:lang w:val="en-US"/>
        </w:rPr>
        <w:t xml:space="preserve"> et al., 2008). However, we cannot formally exclude that ATCC14028 differs from the SL1344 strain used in our study in being capable of utilizing H2 in liver and spleen. Such strain-specific differences may affect the adaptation to new hosts. Clearly, S. Tm SL1344 requires H2 only for gut colonization, but not at systemic sites (Figure S3C). This provides a striking example for a central intermediate of microbiota metabolism fueling pathogen growth at a site occupied by a dense commensal community. Due to the conserved nature of the metabolic network of the gut microbiota, this metabolite will likely be available in any host animal as well as in humans. Thus, H2 could be regarded as an ‘‘Achilles’ heel’’ of microbiota metabolism which can be exploited by S. Tm for gut ecosystem invasion, etc.</w:t>
      </w:r>
    </w:p>
    <w:p w14:paraId="7A943567" w14:textId="77777777" w:rsidR="007F0E94" w:rsidRDefault="007F0E94" w:rsidP="007F0E94">
      <w:pPr>
        <w:autoSpaceDE w:val="0"/>
        <w:autoSpaceDN w:val="0"/>
        <w:adjustRightInd w:val="0"/>
        <w:spacing w:after="0" w:line="276" w:lineRule="auto"/>
        <w:jc w:val="both"/>
        <w:rPr>
          <w:rFonts w:cstheme="minorHAnsi"/>
          <w:lang w:val="en-US"/>
        </w:rPr>
      </w:pPr>
    </w:p>
    <w:p w14:paraId="22D1B69E" w14:textId="77777777" w:rsidR="007F0E94" w:rsidRDefault="007F0E94" w:rsidP="007F0E94">
      <w:pPr>
        <w:autoSpaceDE w:val="0"/>
        <w:autoSpaceDN w:val="0"/>
        <w:adjustRightInd w:val="0"/>
        <w:spacing w:after="0" w:line="276" w:lineRule="auto"/>
        <w:jc w:val="both"/>
        <w:rPr>
          <w:rFonts w:cstheme="minorHAnsi"/>
          <w:lang w:val="en-US"/>
        </w:rPr>
      </w:pPr>
    </w:p>
    <w:p w14:paraId="772E932F" w14:textId="77777777" w:rsidR="00360FF5" w:rsidRPr="007F0E94" w:rsidRDefault="00360FF5">
      <w:pPr>
        <w:rPr>
          <w:lang w:val="en-US"/>
        </w:rPr>
      </w:pPr>
    </w:p>
    <w:sectPr w:rsidR="00360FF5" w:rsidRPr="007F0E94">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4" w:author="Sunagawa  Shinichi" w:date="2024-09-11T11:09:00Z" w:initials="SS">
    <w:p w14:paraId="3F7FECEB" w14:textId="77777777" w:rsidR="00D5767D" w:rsidRDefault="00D5767D" w:rsidP="00D5767D">
      <w:r>
        <w:rPr>
          <w:rStyle w:val="CommentReference"/>
        </w:rPr>
        <w:annotationRef/>
      </w:r>
      <w:r>
        <w:rPr>
          <w:color w:val="000000"/>
          <w:sz w:val="24"/>
          <w:szCs w:val="24"/>
        </w:rPr>
        <w:t>Reconsider Anthropomorphism?</w:t>
      </w:r>
    </w:p>
  </w:comment>
  <w:comment w:id="15" w:author="Sunagawa  Shinichi" w:date="2024-09-11T11:07:00Z" w:initials="SS">
    <w:p w14:paraId="0BBA00E2" w14:textId="56AD6BAC" w:rsidR="00D5767D" w:rsidRDefault="00D5767D" w:rsidP="00D5767D">
      <w:r>
        <w:rPr>
          <w:rStyle w:val="CommentReference"/>
        </w:rPr>
        <w:annotationRef/>
      </w:r>
      <w:r>
        <w:rPr>
          <w:color w:val="000000"/>
          <w:sz w:val="24"/>
          <w:szCs w:val="24"/>
        </w:rPr>
        <w:t>Overstatement drawing conclusions about the generality of the results</w:t>
      </w:r>
    </w:p>
  </w:comment>
  <w:comment w:id="26" w:author="Sunagawa  Shinichi" w:date="2024-09-11T11:14:00Z" w:initials="SS">
    <w:p w14:paraId="39A48D64" w14:textId="77777777" w:rsidR="005220AB" w:rsidRDefault="005220AB" w:rsidP="005220AB">
      <w:r>
        <w:rPr>
          <w:rStyle w:val="CommentReference"/>
        </w:rPr>
        <w:annotationRef/>
      </w:r>
      <w:r>
        <w:rPr>
          <w:color w:val="000000"/>
          <w:sz w:val="24"/>
          <w:szCs w:val="24"/>
        </w:rPr>
        <w:t>Better “hypothesized” since speculations do not require prior evidence.</w:t>
      </w:r>
    </w:p>
  </w:comment>
  <w:comment w:id="33" w:author="Sunagawa  Shinichi" w:date="2024-09-11T11:16:00Z" w:initials="SS">
    <w:p w14:paraId="08449F01" w14:textId="77777777" w:rsidR="005220AB" w:rsidRDefault="005220AB" w:rsidP="005220AB">
      <w:r>
        <w:rPr>
          <w:rStyle w:val="CommentReference"/>
        </w:rPr>
        <w:annotationRef/>
      </w:r>
      <w:r>
        <w:rPr>
          <w:color w:val="000000"/>
          <w:sz w:val="24"/>
          <w:szCs w:val="24"/>
        </w:rPr>
        <w:t>Replace reference with original study</w:t>
      </w:r>
    </w:p>
  </w:comment>
  <w:comment w:id="55" w:author="Sunagawa  Shinichi" w:date="2024-09-11T11:17:00Z" w:initials="SS">
    <w:p w14:paraId="19DBBBA7" w14:textId="77777777" w:rsidR="005220AB" w:rsidRDefault="005220AB" w:rsidP="005220AB">
      <w:r>
        <w:rPr>
          <w:rStyle w:val="CommentReference"/>
        </w:rPr>
        <w:annotationRef/>
      </w:r>
      <w:r>
        <w:rPr>
          <w:color w:val="000000"/>
          <w:sz w:val="24"/>
          <w:szCs w:val="24"/>
        </w:rPr>
        <w:t>Non-quantitative</w:t>
      </w:r>
    </w:p>
  </w:comment>
  <w:comment w:id="63" w:author="Sunagawa  Shinichi" w:date="2024-09-11T11:05:00Z" w:initials="SS">
    <w:p w14:paraId="56515340" w14:textId="230AE92E" w:rsidR="00D5767D" w:rsidRDefault="00D5767D" w:rsidP="00D5767D">
      <w:r>
        <w:rPr>
          <w:rStyle w:val="CommentReference"/>
        </w:rPr>
        <w:annotationRef/>
      </w:r>
      <w:r>
        <w:rPr>
          <w:color w:val="000000"/>
          <w:sz w:val="24"/>
          <w:szCs w:val="24"/>
        </w:rPr>
        <w:t>Redundant information, words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F7FECEB" w15:done="0"/>
  <w15:commentEx w15:paraId="0BBA00E2" w15:done="0"/>
  <w15:commentEx w15:paraId="39A48D64" w15:done="0"/>
  <w15:commentEx w15:paraId="08449F01" w15:done="0"/>
  <w15:commentEx w15:paraId="19DBBBA7" w15:done="0"/>
  <w15:commentEx w15:paraId="565153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7905603" w16cex:dateUtc="2024-09-11T09:09:00Z"/>
  <w16cex:commentExtensible w16cex:durableId="6256E9F2" w16cex:dateUtc="2024-09-11T09:07:00Z"/>
  <w16cex:commentExtensible w16cex:durableId="54EEAD1B" w16cex:dateUtc="2024-09-11T09:14:00Z"/>
  <w16cex:commentExtensible w16cex:durableId="0F05A39B" w16cex:dateUtc="2024-09-11T09:16:00Z"/>
  <w16cex:commentExtensible w16cex:durableId="3425D711" w16cex:dateUtc="2024-09-11T09:17:00Z"/>
  <w16cex:commentExtensible w16cex:durableId="2709AFA4" w16cex:dateUtc="2024-09-11T0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F7FECEB" w16cid:durableId="17905603"/>
  <w16cid:commentId w16cid:paraId="0BBA00E2" w16cid:durableId="6256E9F2"/>
  <w16cid:commentId w16cid:paraId="39A48D64" w16cid:durableId="54EEAD1B"/>
  <w16cid:commentId w16cid:paraId="08449F01" w16cid:durableId="0F05A39B"/>
  <w16cid:commentId w16cid:paraId="19DBBBA7" w16cid:durableId="3425D711"/>
  <w16cid:commentId w16cid:paraId="56515340" w16cid:durableId="2709AFA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E74F7"/>
    <w:multiLevelType w:val="hybridMultilevel"/>
    <w:tmpl w:val="D47E7896"/>
    <w:lvl w:ilvl="0" w:tplc="88D853D6">
      <w:start w:val="1"/>
      <w:numFmt w:val="bullet"/>
      <w:lvlText w:val="-"/>
      <w:lvlJc w:val="left"/>
      <w:pPr>
        <w:ind w:left="717" w:hanging="360"/>
      </w:pPr>
      <w:rPr>
        <w:rFonts w:ascii="Calibri" w:eastAsiaTheme="minorHAnsi" w:hAnsi="Calibri" w:cs="Calibri" w:hint="default"/>
      </w:rPr>
    </w:lvl>
    <w:lvl w:ilvl="1" w:tplc="08070003" w:tentative="1">
      <w:start w:val="1"/>
      <w:numFmt w:val="bullet"/>
      <w:lvlText w:val="o"/>
      <w:lvlJc w:val="left"/>
      <w:pPr>
        <w:ind w:left="1437" w:hanging="360"/>
      </w:pPr>
      <w:rPr>
        <w:rFonts w:ascii="Courier New" w:hAnsi="Courier New" w:cs="Courier New" w:hint="default"/>
      </w:rPr>
    </w:lvl>
    <w:lvl w:ilvl="2" w:tplc="08070005" w:tentative="1">
      <w:start w:val="1"/>
      <w:numFmt w:val="bullet"/>
      <w:lvlText w:val=""/>
      <w:lvlJc w:val="left"/>
      <w:pPr>
        <w:ind w:left="2157" w:hanging="360"/>
      </w:pPr>
      <w:rPr>
        <w:rFonts w:ascii="Wingdings" w:hAnsi="Wingdings" w:hint="default"/>
      </w:rPr>
    </w:lvl>
    <w:lvl w:ilvl="3" w:tplc="08070001" w:tentative="1">
      <w:start w:val="1"/>
      <w:numFmt w:val="bullet"/>
      <w:lvlText w:val=""/>
      <w:lvlJc w:val="left"/>
      <w:pPr>
        <w:ind w:left="2877" w:hanging="360"/>
      </w:pPr>
      <w:rPr>
        <w:rFonts w:ascii="Symbol" w:hAnsi="Symbol" w:hint="default"/>
      </w:rPr>
    </w:lvl>
    <w:lvl w:ilvl="4" w:tplc="08070003" w:tentative="1">
      <w:start w:val="1"/>
      <w:numFmt w:val="bullet"/>
      <w:lvlText w:val="o"/>
      <w:lvlJc w:val="left"/>
      <w:pPr>
        <w:ind w:left="3597" w:hanging="360"/>
      </w:pPr>
      <w:rPr>
        <w:rFonts w:ascii="Courier New" w:hAnsi="Courier New" w:cs="Courier New" w:hint="default"/>
      </w:rPr>
    </w:lvl>
    <w:lvl w:ilvl="5" w:tplc="08070005" w:tentative="1">
      <w:start w:val="1"/>
      <w:numFmt w:val="bullet"/>
      <w:lvlText w:val=""/>
      <w:lvlJc w:val="left"/>
      <w:pPr>
        <w:ind w:left="4317" w:hanging="360"/>
      </w:pPr>
      <w:rPr>
        <w:rFonts w:ascii="Wingdings" w:hAnsi="Wingdings" w:hint="default"/>
      </w:rPr>
    </w:lvl>
    <w:lvl w:ilvl="6" w:tplc="08070001" w:tentative="1">
      <w:start w:val="1"/>
      <w:numFmt w:val="bullet"/>
      <w:lvlText w:val=""/>
      <w:lvlJc w:val="left"/>
      <w:pPr>
        <w:ind w:left="5037" w:hanging="360"/>
      </w:pPr>
      <w:rPr>
        <w:rFonts w:ascii="Symbol" w:hAnsi="Symbol" w:hint="default"/>
      </w:rPr>
    </w:lvl>
    <w:lvl w:ilvl="7" w:tplc="08070003" w:tentative="1">
      <w:start w:val="1"/>
      <w:numFmt w:val="bullet"/>
      <w:lvlText w:val="o"/>
      <w:lvlJc w:val="left"/>
      <w:pPr>
        <w:ind w:left="5757" w:hanging="360"/>
      </w:pPr>
      <w:rPr>
        <w:rFonts w:ascii="Courier New" w:hAnsi="Courier New" w:cs="Courier New" w:hint="default"/>
      </w:rPr>
    </w:lvl>
    <w:lvl w:ilvl="8" w:tplc="08070005" w:tentative="1">
      <w:start w:val="1"/>
      <w:numFmt w:val="bullet"/>
      <w:lvlText w:val=""/>
      <w:lvlJc w:val="left"/>
      <w:pPr>
        <w:ind w:left="6477" w:hanging="360"/>
      </w:pPr>
      <w:rPr>
        <w:rFonts w:ascii="Wingdings" w:hAnsi="Wingdings" w:hint="default"/>
      </w:rPr>
    </w:lvl>
  </w:abstractNum>
  <w:abstractNum w:abstractNumId="1" w15:restartNumberingAfterBreak="0">
    <w:nsid w:val="28AC03B9"/>
    <w:multiLevelType w:val="hybridMultilevel"/>
    <w:tmpl w:val="C6229A4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7B61020E"/>
    <w:multiLevelType w:val="hybridMultilevel"/>
    <w:tmpl w:val="924ABCF8"/>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6144623">
    <w:abstractNumId w:val="1"/>
  </w:num>
  <w:num w:numId="2" w16cid:durableId="714309544">
    <w:abstractNumId w:val="0"/>
  </w:num>
  <w:num w:numId="3" w16cid:durableId="186752625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nagawa  Shinichi">
    <w15:presenceInfo w15:providerId="AD" w15:userId="S::ssunagaw@ethz.ch::cf0c5039-704d-4f55-b24a-a1f7fdb5a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94"/>
    <w:rsid w:val="00014E8B"/>
    <w:rsid w:val="002940AB"/>
    <w:rsid w:val="00302307"/>
    <w:rsid w:val="00360FF5"/>
    <w:rsid w:val="005220AB"/>
    <w:rsid w:val="005A6EEB"/>
    <w:rsid w:val="0062179C"/>
    <w:rsid w:val="007F0E94"/>
    <w:rsid w:val="009D13E3"/>
    <w:rsid w:val="00D5767D"/>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0BA8ABA2"/>
  <w15:chartTrackingRefBased/>
  <w15:docId w15:val="{0FE59A20-609C-9B49-A119-E28F0FB2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E94"/>
    <w:pPr>
      <w:spacing w:after="160" w:line="259" w:lineRule="auto"/>
    </w:pPr>
    <w:rPr>
      <w:sz w:val="22"/>
      <w:szCs w:val="22"/>
      <w:lang w:val="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E94"/>
    <w:pPr>
      <w:ind w:left="720"/>
      <w:contextualSpacing/>
    </w:pPr>
  </w:style>
  <w:style w:type="character" w:customStyle="1" w:styleId="inline-l2-heading1">
    <w:name w:val="inline-l2-heading1"/>
    <w:basedOn w:val="DefaultParagraphFont"/>
    <w:rsid w:val="007F0E94"/>
    <w:rPr>
      <w:b/>
      <w:bCs/>
      <w:vanish w:val="0"/>
      <w:webHidden w:val="0"/>
      <w:specVanish w:val="0"/>
    </w:rPr>
  </w:style>
  <w:style w:type="character" w:styleId="CommentReference">
    <w:name w:val="annotation reference"/>
    <w:basedOn w:val="DefaultParagraphFont"/>
    <w:uiPriority w:val="99"/>
    <w:semiHidden/>
    <w:unhideWhenUsed/>
    <w:rsid w:val="007F0E94"/>
    <w:rPr>
      <w:sz w:val="18"/>
      <w:szCs w:val="18"/>
    </w:rPr>
  </w:style>
  <w:style w:type="paragraph" w:styleId="CommentText">
    <w:name w:val="annotation text"/>
    <w:basedOn w:val="Normal"/>
    <w:link w:val="CommentTextChar"/>
    <w:uiPriority w:val="99"/>
    <w:semiHidden/>
    <w:unhideWhenUsed/>
    <w:rsid w:val="007F0E94"/>
    <w:pPr>
      <w:spacing w:line="240" w:lineRule="auto"/>
    </w:pPr>
    <w:rPr>
      <w:sz w:val="24"/>
      <w:szCs w:val="24"/>
    </w:rPr>
  </w:style>
  <w:style w:type="character" w:customStyle="1" w:styleId="CommentTextChar">
    <w:name w:val="Comment Text Char"/>
    <w:basedOn w:val="DefaultParagraphFont"/>
    <w:link w:val="CommentText"/>
    <w:uiPriority w:val="99"/>
    <w:semiHidden/>
    <w:rsid w:val="007F0E94"/>
    <w:rPr>
      <w:lang w:val="de-CH"/>
    </w:rPr>
  </w:style>
  <w:style w:type="paragraph" w:styleId="BalloonText">
    <w:name w:val="Balloon Text"/>
    <w:basedOn w:val="Normal"/>
    <w:link w:val="BalloonTextChar"/>
    <w:uiPriority w:val="99"/>
    <w:semiHidden/>
    <w:unhideWhenUsed/>
    <w:rsid w:val="007F0E9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0E94"/>
    <w:rPr>
      <w:rFonts w:ascii="Times New Roman" w:hAnsi="Times New Roman" w:cs="Times New Roman"/>
      <w:sz w:val="18"/>
      <w:szCs w:val="18"/>
      <w:lang w:val="de-CH"/>
    </w:rPr>
  </w:style>
  <w:style w:type="paragraph" w:styleId="Revision">
    <w:name w:val="Revision"/>
    <w:hidden/>
    <w:uiPriority w:val="99"/>
    <w:semiHidden/>
    <w:rsid w:val="00302307"/>
    <w:rPr>
      <w:sz w:val="22"/>
      <w:szCs w:val="22"/>
      <w:lang w:val="de-CH"/>
    </w:rPr>
  </w:style>
  <w:style w:type="paragraph" w:styleId="CommentSubject">
    <w:name w:val="annotation subject"/>
    <w:basedOn w:val="CommentText"/>
    <w:next w:val="CommentText"/>
    <w:link w:val="CommentSubjectChar"/>
    <w:uiPriority w:val="99"/>
    <w:semiHidden/>
    <w:unhideWhenUsed/>
    <w:rsid w:val="00D5767D"/>
    <w:rPr>
      <w:b/>
      <w:bCs/>
      <w:sz w:val="20"/>
      <w:szCs w:val="20"/>
    </w:rPr>
  </w:style>
  <w:style w:type="character" w:customStyle="1" w:styleId="CommentSubjectChar">
    <w:name w:val="Comment Subject Char"/>
    <w:basedOn w:val="CommentTextChar"/>
    <w:link w:val="CommentSubject"/>
    <w:uiPriority w:val="99"/>
    <w:semiHidden/>
    <w:rsid w:val="00D5767D"/>
    <w:rPr>
      <w:b/>
      <w:bCs/>
      <w:sz w:val="20"/>
      <w:szCs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1</TotalTime>
  <Pages>3</Pages>
  <Words>1761</Words>
  <Characters>9844</Characters>
  <Application>Microsoft Office Word</Application>
  <DocSecurity>0</DocSecurity>
  <Lines>172</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Sunagawa  Shinichi</dc:creator>
  <cp:keywords/>
  <dc:description/>
  <cp:lastModifiedBy>Sunagawa  Shinichi</cp:lastModifiedBy>
  <cp:revision>2</cp:revision>
  <dcterms:created xsi:type="dcterms:W3CDTF">2024-09-11T09:58:00Z</dcterms:created>
  <dcterms:modified xsi:type="dcterms:W3CDTF">2024-09-11T09:58:00Z</dcterms:modified>
</cp:coreProperties>
</file>